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gif" ContentType="image/gif"/>
  <Override PartName="/word/media/image2.gif" ContentType="image/gif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tbl>
      <w:tblPr>
        <w:tblW w:w="180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3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</w:rPr>
        <w:t>UNITED STATES</w:t>
      </w:r>
    </w:p>
    <w:p>
      <w:pPr>
        <w:pStyle w:val="TextBody"/>
        <w:bidi w:val="0"/>
        <w:spacing w:lineRule="atLeast" w:line="3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</w:rPr>
        <w:t>SECURITIES AND EXCHANGE COMMISSION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Washington, D.C. 20549</w:t>
      </w:r>
    </w:p>
    <w:tbl>
      <w:tblPr>
        <w:tblW w:w="169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360" w:before="0" w:after="0"/>
        <w:jc w:val="left"/>
        <w:rPr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</w:rPr>
        <w:t xml:space="preserve">FORM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</w:rPr>
        <w:t>6-K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>REPORT OF FOREIGN PRIVATE ISSUER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>PURSUANT TO RULE 13a-16 OR 15d-16 UNDER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>THE SECURITIES EXCHANGE ACT OF 1934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For the Month of July 2026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Commission File Number: 001-42804</w:t>
      </w:r>
    </w:p>
    <w:tbl>
      <w:tblPr>
        <w:tblW w:w="169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32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2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2"/>
          <w:u w:val="none"/>
          <w:effect w:val="none"/>
        </w:rPr>
        <w:t>Kyivstar Group Ltd.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(Translation of registrant’s name into English)</w:t>
      </w:r>
    </w:p>
    <w:tbl>
      <w:tblPr>
        <w:tblW w:w="169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Unit 517, Level 5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Index Tower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Dubai International Financial Centre (DIFC)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United Arab Emirates</w:t>
      </w:r>
      <w:r>
        <w:rPr>
          <w:caps w:val="false"/>
          <w:smallCaps w:val="fals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(Address of principal executive offices)</w:t>
      </w:r>
    </w:p>
    <w:tbl>
      <w:tblPr>
        <w:tblW w:w="169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Indicate by check mark whether the registrant files or will file annual reports under cover of Form 20-F or Form 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40-F.</w:t>
      </w:r>
    </w:p>
    <w:p>
      <w:pPr>
        <w:pStyle w:val="TextBody"/>
        <w:bidi w:val="0"/>
        <w:spacing w:lineRule="atLeast" w:line="240" w:before="0" w:after="0"/>
        <w:jc w:val="left"/>
        <w:rPr/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Form 20-F </w:t>
      </w:r>
      <w:r>
        <w:rPr>
          <w:rFonts w:ascii="Wingdings;sans-serif" w:hAnsi="Wingdings;sans-serif"/>
          <w:b w:val="false"/>
          <w:i w:val="false"/>
          <w:caps w:val="false"/>
          <w:smallCaps w:val="false"/>
          <w:sz w:val="24"/>
        </w:rPr>
        <w:t>x</w:t>
      </w:r>
      <w:r>
        <w:rPr>
          <w:caps w:val="false"/>
          <w:smallCaps w:val="false"/>
        </w:rPr>
        <w:t xml:space="preserve">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Form 40-F </w:t>
      </w:r>
      <w:r>
        <w:rPr>
          <w:rFonts w:ascii="Wingdings;sans-serif" w:hAnsi="Wingdings;sans-serif"/>
          <w:b w:val="false"/>
          <w:i w:val="false"/>
          <w:caps w:val="false"/>
          <w:smallCaps w:val="false"/>
          <w:sz w:val="24"/>
        </w:rPr>
        <w:t>o</w:t>
      </w:r>
    </w:p>
    <w:tbl>
      <w:tblPr>
        <w:tblW w:w="169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>EXPLANATORY NOTE</w:t>
      </w: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On July 31, 2026, Kyivstar Group Ltd. published its interim results and unaudited interim condensed consolidated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u w:val="single"/>
        </w:rPr>
        <w:t>financial statements for the six months ended June 30, 2026, which is furnished hereto as Exhibit 99.1.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u w:val="single"/>
        </w:rPr>
        <w:t>EXHIBIT INDEX</w:t>
      </w:r>
    </w:p>
    <w:tbl>
      <w:tblPr>
        <w:tblW w:w="851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01"/>
        <w:gridCol w:w="353"/>
        <w:gridCol w:w="356"/>
        <w:gridCol w:w="2169"/>
        <w:gridCol w:w="2169"/>
        <w:gridCol w:w="3071"/>
      </w:tblGrid>
      <w:tr>
        <w:trPr/>
        <w:tc>
          <w:tcPr>
            <w:tcW w:w="4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1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color w:val="000000"/>
                <w:sz w:val="20"/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color w:val="000000"/>
                <w:sz w:val="20"/>
                <w:u w:val="single"/>
              </w:rPr>
              <w:t xml:space="preserve">Exhibit No. </w:t>
            </w:r>
          </w:p>
        </w:tc>
        <w:tc>
          <w:tcPr>
            <w:tcW w:w="740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color w:val="000000"/>
                <w:sz w:val="20"/>
                <w:u w:val="singl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color w:val="000000"/>
                <w:sz w:val="20"/>
                <w:u w:val="single"/>
              </w:rPr>
              <w:t>Description of Exhibit</w:t>
            </w:r>
          </w:p>
        </w:tc>
      </w:tr>
      <w:tr>
        <w:trPr/>
        <w:tc>
          <w:tcPr>
            <w:tcW w:w="111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99.1</w:t>
            </w:r>
          </w:p>
        </w:tc>
        <w:tc>
          <w:tcPr>
            <w:tcW w:w="740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Interim Results for the six months ended June 30, 2026 and unaudited interim condensed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consolidated financial statements for the six months ended June 30, 2026</w:t>
            </w:r>
          </w:p>
        </w:tc>
      </w:tr>
      <w:tr>
        <w:trPr/>
        <w:tc>
          <w:tcPr>
            <w:tcW w:w="111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0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1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0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</w:rPr>
        <w:t>SIGNATURES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Pursuant to the requirements of the Securities Exchange Act of 1934, the registrant has duly caused this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report to be signed on its behalf by the undersigned, thereunto duly authorized.</w:t>
      </w:r>
    </w:p>
    <w:tbl>
      <w:tblPr>
        <w:tblW w:w="459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8"/>
        <w:gridCol w:w="544"/>
        <w:gridCol w:w="547"/>
        <w:gridCol w:w="293"/>
        <w:gridCol w:w="293"/>
        <w:gridCol w:w="293"/>
        <w:gridCol w:w="583"/>
        <w:gridCol w:w="583"/>
        <w:gridCol w:w="843"/>
      </w:tblGrid>
      <w:tr>
        <w:trPr/>
        <w:tc>
          <w:tcPr>
            <w:tcW w:w="6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0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8" w:type="dxa"/>
            <w:gridSpan w:val="6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0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Date: July 31, 2026</w:t>
            </w:r>
          </w:p>
        </w:tc>
        <w:tc>
          <w:tcPr>
            <w:tcW w:w="2888" w:type="dxa"/>
            <w:gridSpan w:val="6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Kyivstar Group Ltd.</w:t>
            </w:r>
          </w:p>
        </w:tc>
      </w:tr>
      <w:tr>
        <w:trPr/>
        <w:tc>
          <w:tcPr>
            <w:tcW w:w="170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8" w:type="dxa"/>
            <w:gridSpan w:val="6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0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By:</w:t>
            </w:r>
          </w:p>
        </w:tc>
        <w:tc>
          <w:tcPr>
            <w:tcW w:w="200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/s/ Taner Kiziltoprak</w:t>
            </w:r>
          </w:p>
        </w:tc>
      </w:tr>
      <w:tr>
        <w:trPr/>
        <w:tc>
          <w:tcPr>
            <w:tcW w:w="170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Name:</w:t>
            </w:r>
          </w:p>
        </w:tc>
        <w:tc>
          <w:tcPr>
            <w:tcW w:w="2009" w:type="dxa"/>
            <w:gridSpan w:val="3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Taner Kiziltoprak</w:t>
            </w:r>
          </w:p>
        </w:tc>
      </w:tr>
      <w:tr>
        <w:trPr/>
        <w:tc>
          <w:tcPr>
            <w:tcW w:w="170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Title:</w:t>
            </w:r>
          </w:p>
        </w:tc>
        <w:tc>
          <w:tcPr>
            <w:tcW w:w="2009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Chief Financial Officer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bookmarkStart w:id="0" w:name="kyiv-20260630_d2.htm"/>
      <w:bookmarkStart w:id="1" w:name="kskyiv20260630_d2"/>
      <w:bookmarkEnd w:id="0"/>
      <w:bookmarkEnd w:id="1"/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1</w:t>
      </w:r>
      <w:r>
        <w:br w:type="page"/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color w:val="0000FF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FF"/>
          <w:sz w:val="20"/>
          <w:u w:val="single"/>
        </w:rPr>
        <w:t>Table of Contents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MANAGEMENT’S DISCUSSION AND ANALYSIS OF FINANCIAL CONDITION AND RESULTS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OPERATIONS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following discussion and analysis is based on, and should be read in conjunction with, our unaudited interim condensed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consolidated financial statements as of and for the six-month periods ended June 30, 2026 and 2025, and the related notes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attached hereto. References to “Kyivstar Group” as well as references to “our company,” “the company,” “our group,” “the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group,” “we,” “us,” “our” and similar pronouns, are references to Kyivstar Group Ltd., an exempted company limited by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shares registered in Bermuda, and its consolidated subsidiaries. References to Kyivstar Group Ltd. are to Kyivstar Group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Ltd. alone.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unaudited interim condensed consolidated financial statements as of June 30, 2026 and for the six-month periods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ended June 30, 2026 and 2025 attached hereto have been prepared in accordance with International Financial Reporting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Standards (“IAS”) 34 Interim Financial Reporting (“IAS 34”) as issued by the International Accounting Standards Board,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effective at the time of preparing the unaudited interim condensed consolidated financial statements and are presented in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U.S. dollars.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discussion of our business and the telecommunications industry included herein contains references to certain terms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specific to our business, including numerous technical and industry terms. Such terms are defined in our Annual Report 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Form 20-F for the year ended December 31, 2025 (our “2025 Annual Report”) filed on March 16, 2026. For a comprehensive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discussion of our critical accounting estimates and assumptions, please refer to Note 22 - Significant Accounting Policies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audited consolidated financial statements included in our 2025 Annual Report. Certain amounts and percentages that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appear in this document have been subject to rounding adjustments. As a result, certain numerical figures shown as totals,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including in tables, may not be exact arithmetic aggregations of the figures that precede or follow them.</w:t>
      </w: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CAUTIONARY NOTE REGARDING FORWARD-LOOKING STATEMENTS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This document contains "forward-looking statements" within the meaning of Section 27A of the U.S. Securities Act of 1933,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as amended (the “Securities Act”), and Section 21E of the U.S. Securities Exchange Act of 1934, as amended (the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Exchange Act”). Our estimates and forward-looking statements are mainly based on our current expectations and estimates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 future events and trends, which affect or may affect our businesses and operations. All statements other than statements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 historical facts and conditions included in this document, including statements regarding our future results of operations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financial position, business strategy, plans and our objectives for future operations, are forward-looking statements.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Forward-looking statements can generally be identified by the use of forward-looking terminology, including the words “may,”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might,” “will,” “could,” “would,” “should,” “expect,” “plan,” “anticipate,” “intend,” “seek,” “believe,” “estimate,” “predict,”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potential,” “continue,” “contemplate,” “possible” and similar words are intended to identify estimates and forward-looking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statements. Although we believe that these estimates and forward-looking statements are based upon reasonable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assumptions, they are subject to numerous risks and uncertainties and are made in light of information currently available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us. Many important factors, in addition to the factors described in this document, may adversely affect our results as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indicated in forward-looking statements. You should read this document completely and with the understanding that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actual results may differ materially from our expectations. Under no circumstances should the inclusion of such forward-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looking statements in this document be regarded as a representation or warranty by us or any other person with respect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achievement of results set out in such statements or that the underlying assumptions used will in fact be the case.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Therefore, you are cautioned not to place undue reliance on these forward-looking statements.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estimates and forward-looking statements may be influenced by various factors, including, without limitation: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outcome of any legislative, regulatory or judicial proceedings and their effect on our business and operations;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management of our business strategy and plans;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changes in applicable laws or regulations;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general economic conditions;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factors relating to the business, operations and financial performance of the Company, including: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risks relating to the ongoing war in Ukraine, such as its adverse impact on the economic conditions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outlook of Ukraine; physical damage to property, infrastructure and assets; the effect of sanctions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export controls on supply chain, the ability to transact with key counterparties; the resulting volatility in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Ukrainian hryvnia; our ability to operate and maintain our infrastructure; sanctions (including any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reputational harm from certain of the beneficial owners of VEON’s largest shareholder, LPE Middle East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Limited ("LetterOne"), being subject to sanctions) or any other considerations that could potentially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increase the perceived risk of government intervention in, or expropriation of, our assets or operations, its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impact on liquidity and our financial condition and risks relating to our ability to continue as a going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concern;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2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color w:val="0000FF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FF"/>
          <w:sz w:val="20"/>
          <w:u w:val="single"/>
        </w:rPr>
        <w:t>Table of Contents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risks related to JSC Kyivstar’s ability to declare and pay dividends and restrictions on its ability to make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certain payments abroad (such as investments, interest and principal payments on loans, financing of any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affiliate companies or representative offices offshore) resulting from the imposition of martial law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Ukraine and/or legal restrictions in Ukraine relating to the ongoing war;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risks related to our principal asset being an interest in JSC Kyivstar, and our dependence on JSC Kyivstar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 distributions, which may be restricted or prohibited;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risks relating to our relationship with VEON and VEON’s ability to exert significant influence over matters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requiring shareholder approval;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risks related to investing in frontier markets, which are subject to greater risks than investing in more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developed markets, including political and economic instability, regulatory and legal uncertainty, social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unrest and conflict;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risks associated with cyberattacks or systems and network disruptions, data protection, data breaches,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perception of such attacks or failures, including the costs associated with such events and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reputational harm that could arise therefrom;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risks related to work stoppages and other labor matters, including mobilization;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risks relating to the international economic environment, inflationary pressures, geopolitical developments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unexpected global events including risks related to (i) supply chain disruptions stemming from U.S.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import tariffs announced in April 2025, and (ii) the ongoing conflict in the Middle East and the involvement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 the U.S. which has created volatility in energy markets and commercial and financial instability across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region;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risks related to the impact of export controls, international trade regulation and customs and technology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regulation on the macroeconomic environment, our operations, our ability and the ability of key third-party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suppliers to procure goods, software or technology necessary to provide services to our customers;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risks relating to legislation, regulation, taxation and currency, including costs of compliance, currency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exchange controls, currency fluctuations, and abrupt changes to laws, regulations, decrees and decisions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governing the telecommunications industry and taxation, laws on foreign investment, anti-corruption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anti-terror laws, economic sanctions, import tariffs and restrictions, data privacy, anti-money laundering,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antitrust, national security and lawful interception and their official interpretation by Ukrainian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governmental and other regulatory bodies and courts, as well as risks relating to tax audits and evolving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international tax frameworks;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risks that the adjudications, administrative or judicial decisions in respect of legal challenges, license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regulatory disputes, tax disputes or appeals may not result in a final resolution in our favor or that in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event of an unsuccessful defense of material litigation claims, we are unable to settle such claims;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risks relating to our operations, including regulatory uncertainty regarding service offerings, licenses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approvals or consents required from governmental authorities in relation thereto, frequency allocations,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constraints on spectrum capacity, access to additional bands of spectrum required to meet demand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existing products and service offerings or additional spectrum required for new products and services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new technologies, intellectual property rights protection, interconnection agreements, equipment failures,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insurance limitations (including war-related exclusions) and competitive offering and pricing pressures;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risks related to our ability to grow communications and digital service offerings, including the demands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such strategy places on management, the need to obtain necessary approvals and the challenges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successfully integrating acquired businesses;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risks related to developments from competition, unforeseen or otherwise, including our ability to keep pace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with technological changes and evolving industry standards;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risks relating to impairment of assets and potential write-downs; and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◦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risks associated with our status as a controlled company, emerging growth company and foreign private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issuer, including increased compliance costs and reduced disclosure requirements.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These factors are not necessarily all of the factors that could cause actual results to differ materially from those expressed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any of our forward-looking statements. Other unknown or unpredictable factors also could harm our future results. New risks</w:t>
      </w:r>
      <w:r>
        <w:rPr>
          <w:caps w:val="false"/>
          <w:smallCaps w:val="false"/>
          <w:u w:val="single"/>
        </w:rPr>
        <w:t xml:space="preserve"> 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uncertainties emerge from time to time and it is not possible for our management to predict all risk factors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uncertainties, nor can we assess the impact of all factors on our business or the extent to which any factor, or combination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factors, may cause actual results to differ materially from those contained in any forward-looking statements.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forward-looking statements used in this document are management’s best assessment of our strategic and financial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position and of future market conditions, trends, and other potential developments. While they are based on sources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believed to be reliable and on management’s current knowledge and best belief, they are merely estimates or predictions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cannot be relied upon. In addition, such expectations, assumptions, and beliefs are subject to change due to factors that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3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color w:val="0000FF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FF"/>
          <w:sz w:val="20"/>
          <w:u w:val="single"/>
        </w:rPr>
        <w:t>Table of Contents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are often beyond our control. As a result, the inclusion of the estimates or other forecast information in this document should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not be relied on as "guidance" or otherwise predictive of actual future events, and actual results may differ materially from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forecasts.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Forward-looking statements speak only as of the date of the filing of this document. Except to the extent required by law, we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disclaim any obligation to update or revise any of these forward-looking statements, whether as a result of new information,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future events or otherwise, after the date on which the statements are made or to reflect the occurrence of unanticipated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events. You should refer to our periodic and current reports filed or furnished, as applicable, with the SEC for specific risks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which could cause actual results to be significantly different from those expressed or implied by these forward-looking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statements.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4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color w:val="0000FF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FF"/>
          <w:sz w:val="20"/>
          <w:u w:val="single"/>
        </w:rPr>
        <w:t>Table of Contents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OVERVIEW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We operate telecommunications, infrastructure and digital businesses in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Ukraine and Uzbekistan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and are Ukraine’s leading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provider of mobile communication by number of subscribers and broadband services as well as by number of access lines,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serving more than 21.8 million mobile customers, approximately 1.3 million home internet fixed line customers and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21.4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million total digital monthly active users ("MAU") as of June 30,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 JSC Kyivstar provides services across a wide range of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mobile and fixed line technologies, including 4G, big data, cloud solutions, cybersecurity, digital TV and more. JSC Kyivstar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has been operating in Ukraine for more than 28 years. As of June 30, 2026, we provided services under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"Kyivstar",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"Uklon", "Helsi" and "Tabletki" brands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Kyivstar Group is a holding company that has no material assets other than its interests in JSC Kyivstar and its subsidiaries.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BASIS OF PRESENTATION OF FINANCIAL RESULTS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unaudited interim condensed consolidated financial statements attached hereto have been prepared in accordance with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IAS 34 Interim Financial Reporting. The interim condensed consolidated financial statements attached hereto do not include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all the information and disclosures required in the annual consolidated financial statements and should be read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conjunction with the Group’s audited annual consolidated financial statements as of and for the year ended December 31,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2025 which is included in our 2025 Annual Report.</w:t>
      </w: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REPORTABLE SEGMENTS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Kyivstar's operations are considered one operating segment. While Kyivstar Group identifies a single reportable segment,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revenue is disaggregated into the following categories: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Telecommunication and infrastructure revenue – service revenue from mobile and fixed connectivity services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provided to individuals and corporate customers and infrastructure services such as our energy infrastructure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assets; and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Digital revenue – revenue from proprietary digital platforms and services.</w:t>
      </w:r>
    </w:p>
    <w:p>
      <w:pPr>
        <w:pStyle w:val="TextBody"/>
        <w:bidi w:val="0"/>
        <w:spacing w:lineRule="atLeast" w:line="180" w:before="0" w:after="0"/>
        <w:jc w:val="both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For more information on our reportable segments, refer to </w:t>
      </w:r>
      <w:hyperlink w:anchor="i93c99386c4434edbac929edca4af06af_34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Note 2 - Segment Information</w:t>
        </w:r>
      </w:hyperlink>
      <w:r>
        <w:rPr>
          <w:caps w:val="false"/>
          <w:smallCaps w:val="false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the unaudited interim condensed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consolidated financial statements attached hereto.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5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color w:val="0000FF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FF"/>
          <w:sz w:val="20"/>
          <w:u w:val="single"/>
        </w:rPr>
        <w:t>Table of Contents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KEY DEVELOPMENTS DURING THE FIRST HALF OF 2026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Acquisition of ISP Shtorm LLC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On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February 9,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the Group entered into a Share Purchase Agreement for the acquisition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100%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 the equity interest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ISP Shtorm LLC for a total consideration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US$10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million.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ISP Shtorm LLC is a regional fixed broadband operator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providing internet services to residential and business customers in Ukraine. The transaction closed on February 26, 2026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and has been accounted for under IFRS 3 Business Combinations. For further details refer to </w:t>
      </w:r>
      <w:hyperlink w:anchor="i93c99386c4434edbac929edca4af06af_46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Note 5 - Significant</w:t>
        </w:r>
      </w:hyperlink>
      <w:hyperlink w:anchor="i93c99386c4434edbac929edca4af06af_46">
        <w:r>
          <w:rPr>
            <w:rStyle w:val="InternetLink"/>
            <w:caps w:val="false"/>
            <w:smallCaps w:val="false"/>
            <w:color w:val="0000FF"/>
            <w:u w:val="single"/>
          </w:rPr>
          <w:t xml:space="preserve"> </w:t>
        </w:r>
      </w:hyperlink>
    </w:p>
    <w:p>
      <w:pPr>
        <w:pStyle w:val="TextBody"/>
        <w:bidi w:val="0"/>
        <w:spacing w:lineRule="atLeast" w:line="180" w:before="0" w:after="0"/>
        <w:jc w:val="both"/>
        <w:rPr/>
      </w:pPr>
      <w:hyperlink w:anchor="i93c99386c4434edbac929edca4af06af_46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Transactions</w:t>
        </w:r>
      </w:hyperlink>
      <w:r>
        <w:rPr>
          <w:caps w:val="false"/>
          <w:smallCaps w:val="false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the unaudited interim condensed consolidated financial statements attached hereto.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Acquisition of Tabletki.ua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On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February 10,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the Group announced the acquisition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100%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 the equity interests in Tabletki.ua for total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consideration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US$161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million, payable in full in UAH in Ukraine. Tabletki.ua is one of Ukraine’s most widely used digital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platforms for finding, comparing and reserving medicines and other products available at Ukrainian pharmacies.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transaction closed on February 10, 2026 and was accounted for under IFRS 3 Business Combinations.  For further details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refer to </w:t>
      </w:r>
      <w:hyperlink w:anchor="i93c99386c4434edbac929edca4af06af_46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Note 5 - Significant Transactions</w:t>
        </w:r>
      </w:hyperlink>
      <w:r>
        <w:rPr>
          <w:caps w:val="false"/>
          <w:smallCaps w:val="false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the unaudited interim condensed consolidated financial statements attached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hereto.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Acquisition of six solar power plants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On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May 26,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the Group completed the acquisition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100%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 the equity interests in six solar power plants, comprising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Energopostach-Plus LLC, Lightfull LLC, Sunlight Generation LLC, Ternovytsia Solar LLC, Energy Space LLC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Ternovytsia Solar Plus LLC for a total consideration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US$70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million. The acquired entities own and operate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six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solar power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plants located in the Lviv region of Ukraine with a combined installed generation capacity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105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MW. The transaction has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been accounted for under IFRS 3 Business Combinations. For further details refer to </w:t>
      </w:r>
      <w:hyperlink w:anchor="i93c99386c4434edbac929edca4af06af_46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Note 5 - Significant Transactions</w:t>
        </w:r>
      </w:hyperlink>
      <w:r>
        <w:rPr>
          <w:caps w:val="false"/>
          <w:smallCaps w:val="false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unaudited interim condensed consolidated financial statements attached hereto.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Appointment of Chief Financial Officer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On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May 28,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Kyivstar Group announced the appointment of Taner Kızıltoprak as Chief Financial Officer, effective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July 1,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 Mr. Kızıltoprak joined the Group on June 1, 2026, as an advisor to the President to support the leadership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transition prior to assuming the role of Chief Financial Officer. Mr. Boris Dolgushin continued to serve as Chief Financial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Officer through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June 30,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after which he transitioned to the role of advisor to the President, focusing on strategic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projects. The appointment forms part of the Group’s executive leadership succession and did not have an impact on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Group’s condensed consolidated interim financial statements.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Acquisition of E-wings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On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June 5,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Uklon, a subsidiary of the Group, entered into a definitive agreement to acquire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100%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 the shares of E-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wings, a Ukrainian electric scooter operator, for a purchase consideration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US$2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million. The acquisition is expected to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enhance Uklon’s multimodal mobility ecosystem by expanding its micromobility offering. The transaction is subject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customary closing conditions and is expected to be completed during the third quarter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.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June 30,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the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acquisition had not been completed and, accordingly, no assets or liabilities related to the transaction have been recognized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these condensed consolidated interim financial statements.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6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color w:val="0000FF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FF"/>
          <w:sz w:val="20"/>
          <w:u w:val="single"/>
        </w:rPr>
        <w:t>Table of Contents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KEY DEVELOPMENTS AFTER THE REPORTING PERIOD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There were no material developments subsequent to June 30, 2026 through the date of this report.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7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Table of Contents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RESULTS OF OPERATIONS</w:t>
      </w: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FINANCIAL PERFORMANCE FOR SIX MONTHS ENDED JUNE 30, 2026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following table sets out our results of operations for six-month periods ended June 30;</w:t>
      </w:r>
    </w:p>
    <w:tbl>
      <w:tblPr>
        <w:tblW w:w="504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511"/>
        <w:gridCol w:w="662"/>
        <w:gridCol w:w="145"/>
        <w:gridCol w:w="722"/>
      </w:tblGrid>
      <w:tr>
        <w:trPr/>
        <w:tc>
          <w:tcPr>
            <w:tcW w:w="35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9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Six-month period</w:t>
            </w:r>
          </w:p>
        </w:tc>
      </w:tr>
      <w:tr>
        <w:trPr/>
        <w:tc>
          <w:tcPr>
            <w:tcW w:w="351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959595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959595"/>
                <w:sz w:val="16"/>
                <w:u w:val="none"/>
                <w:effect w:val="none"/>
              </w:rPr>
              <w:t>(in millions of U.S. dollars)</w:t>
            </w:r>
          </w:p>
        </w:tc>
        <w:tc>
          <w:tcPr>
            <w:tcW w:w="66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35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2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Revenue</w:t>
            </w:r>
          </w:p>
        </w:tc>
        <w:tc>
          <w:tcPr>
            <w:tcW w:w="6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662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539</w:t>
            </w:r>
          </w:p>
        </w:tc>
      </w:tr>
      <w:tr>
        <w:trPr/>
        <w:tc>
          <w:tcPr>
            <w:tcW w:w="3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Cost of services, equipment and accessories</w:t>
            </w:r>
          </w:p>
        </w:tc>
        <w:tc>
          <w:tcPr>
            <w:tcW w:w="6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(71)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(51)</w:t>
            </w:r>
          </w:p>
        </w:tc>
      </w:tr>
      <w:tr>
        <w:trPr/>
        <w:tc>
          <w:tcPr>
            <w:tcW w:w="3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Selling, general and administrative expenses</w:t>
            </w:r>
          </w:p>
        </w:tc>
        <w:tc>
          <w:tcPr>
            <w:tcW w:w="6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(231)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(183)</w:t>
            </w:r>
          </w:p>
        </w:tc>
      </w:tr>
      <w:tr>
        <w:trPr/>
        <w:tc>
          <w:tcPr>
            <w:tcW w:w="3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Depreciation</w:t>
            </w:r>
          </w:p>
        </w:tc>
        <w:tc>
          <w:tcPr>
            <w:tcW w:w="6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(78)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(66)</w:t>
            </w:r>
          </w:p>
        </w:tc>
      </w:tr>
      <w:tr>
        <w:trPr/>
        <w:tc>
          <w:tcPr>
            <w:tcW w:w="3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Amortization</w:t>
            </w:r>
          </w:p>
        </w:tc>
        <w:tc>
          <w:tcPr>
            <w:tcW w:w="6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(44)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(29)</w:t>
            </w:r>
          </w:p>
        </w:tc>
      </w:tr>
      <w:tr>
        <w:trPr/>
        <w:tc>
          <w:tcPr>
            <w:tcW w:w="3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Impairment</w:t>
            </w:r>
          </w:p>
        </w:tc>
        <w:tc>
          <w:tcPr>
            <w:tcW w:w="6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(4)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(4)</w:t>
            </w:r>
          </w:p>
        </w:tc>
      </w:tr>
      <w:tr>
        <w:trPr/>
        <w:tc>
          <w:tcPr>
            <w:tcW w:w="3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Gain / (loss) on disposal of non-current assets</w:t>
            </w:r>
          </w:p>
        </w:tc>
        <w:tc>
          <w:tcPr>
            <w:tcW w:w="6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(1)</w:t>
            </w:r>
          </w:p>
        </w:tc>
      </w:tr>
      <w:tr>
        <w:trPr/>
        <w:tc>
          <w:tcPr>
            <w:tcW w:w="3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operating income</w:t>
            </w:r>
          </w:p>
        </w:tc>
        <w:tc>
          <w:tcPr>
            <w:tcW w:w="662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2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</w:tr>
      <w:tr>
        <w:trPr/>
        <w:tc>
          <w:tcPr>
            <w:tcW w:w="3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2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Operating profit</w:t>
            </w:r>
          </w:p>
        </w:tc>
        <w:tc>
          <w:tcPr>
            <w:tcW w:w="6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240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206</w:t>
            </w:r>
          </w:p>
        </w:tc>
      </w:tr>
      <w:tr>
        <w:trPr/>
        <w:tc>
          <w:tcPr>
            <w:tcW w:w="3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Finance costs</w:t>
            </w:r>
          </w:p>
        </w:tc>
        <w:tc>
          <w:tcPr>
            <w:tcW w:w="6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(37)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(39)</w:t>
            </w:r>
          </w:p>
        </w:tc>
      </w:tr>
      <w:tr>
        <w:trPr/>
        <w:tc>
          <w:tcPr>
            <w:tcW w:w="3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Finance income</w:t>
            </w:r>
          </w:p>
        </w:tc>
        <w:tc>
          <w:tcPr>
            <w:tcW w:w="6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</w:t>
            </w:r>
          </w:p>
        </w:tc>
      </w:tr>
      <w:tr>
        <w:trPr/>
        <w:tc>
          <w:tcPr>
            <w:tcW w:w="3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non-operating loss, net</w:t>
            </w:r>
          </w:p>
        </w:tc>
        <w:tc>
          <w:tcPr>
            <w:tcW w:w="6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(21)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(4)</w:t>
            </w:r>
          </w:p>
        </w:tc>
      </w:tr>
      <w:tr>
        <w:trPr/>
        <w:tc>
          <w:tcPr>
            <w:tcW w:w="3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Foreign exchange gain / (loss), net</w:t>
            </w:r>
          </w:p>
        </w:tc>
        <w:tc>
          <w:tcPr>
            <w:tcW w:w="662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2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(13)</w:t>
            </w:r>
          </w:p>
        </w:tc>
      </w:tr>
      <w:tr>
        <w:trPr/>
        <w:tc>
          <w:tcPr>
            <w:tcW w:w="3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Profit before tax</w:t>
            </w:r>
          </w:p>
        </w:tc>
        <w:tc>
          <w:tcPr>
            <w:tcW w:w="662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201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2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161</w:t>
            </w:r>
          </w:p>
        </w:tc>
      </w:tr>
      <w:tr>
        <w:trPr/>
        <w:tc>
          <w:tcPr>
            <w:tcW w:w="3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2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Income tax</w:t>
            </w:r>
          </w:p>
        </w:tc>
        <w:tc>
          <w:tcPr>
            <w:tcW w:w="662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(39)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2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(35)</w:t>
            </w:r>
          </w:p>
        </w:tc>
      </w:tr>
      <w:tr>
        <w:trPr/>
        <w:tc>
          <w:tcPr>
            <w:tcW w:w="3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2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Profit for the period</w:t>
            </w:r>
          </w:p>
        </w:tc>
        <w:tc>
          <w:tcPr>
            <w:tcW w:w="662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162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2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126</w:t>
            </w:r>
          </w:p>
        </w:tc>
      </w:tr>
    </w:tbl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REVENUE</w:t>
      </w:r>
    </w:p>
    <w:tbl>
      <w:tblPr>
        <w:tblW w:w="636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526"/>
        <w:gridCol w:w="109"/>
        <w:gridCol w:w="1302"/>
        <w:gridCol w:w="1428"/>
      </w:tblGrid>
      <w:tr>
        <w:trPr/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Six-month period ended June 30</w:t>
            </w:r>
          </w:p>
        </w:tc>
      </w:tr>
      <w:tr>
        <w:trPr/>
        <w:tc>
          <w:tcPr>
            <w:tcW w:w="35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959595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959595"/>
                <w:sz w:val="16"/>
                <w:u w:val="none"/>
                <w:effect w:val="none"/>
              </w:rPr>
              <w:t>In millions of U.S. dollars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2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428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3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2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8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Telecommunication and Infrastructure revenue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521</w:t>
            </w:r>
          </w:p>
        </w:tc>
        <w:tc>
          <w:tcPr>
            <w:tcW w:w="142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480</w:t>
            </w:r>
          </w:p>
        </w:tc>
      </w:tr>
      <w:tr>
        <w:trPr/>
        <w:tc>
          <w:tcPr>
            <w:tcW w:w="3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Digital revenue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141</w:t>
            </w:r>
          </w:p>
        </w:tc>
        <w:tc>
          <w:tcPr>
            <w:tcW w:w="142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59</w:t>
            </w:r>
          </w:p>
        </w:tc>
      </w:tr>
      <w:tr>
        <w:trPr/>
        <w:tc>
          <w:tcPr>
            <w:tcW w:w="3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2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8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 Revenue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2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662</w:t>
            </w:r>
          </w:p>
        </w:tc>
        <w:tc>
          <w:tcPr>
            <w:tcW w:w="1428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539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Revenue increased by US$123 million, or 22.8%, to US$662 million for the six-month period ended June 30, 2026, from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US$539 million for the corresponding period in 2025. This increase was driven by growth across both the telecommunication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digital streams.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Telecommunication and infrastructure revenue increased by US$41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million to US$521 million for the six-month period ended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June 30, 2026, from US$480 million for the corresponding period in 2025, primarily driven by higher mobile average revenue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 user ("Mobile ARPU"), reflecting increased adoption of higher-value customer offers, continued growth in data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8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Table of Contents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consumption and expansion of the fixed broadband customer base. The increase also included a US$3 million contribution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from energy assets consolidated during the period.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Digital revenue increased by US$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82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million to US$141 million for the six-month period ended June 30, 2026, from US$59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million for the corresponding period in 2025, driven primarily by contributions from recently acquired businesses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continued organic growth. Uklon contributed US$44 million reflecting its full six-month consolidation in the first half of 2026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following its acquisition in April 2025. Tabletki contributed US$13 million following its acquisition in February 2026.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addition, Kyivstar TV revenue increased by US$20 million, driven by both the transition to gross revenue recognition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continued growth in its subscriber base. The increase in digital revenue was further supported by ongoing organic growth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across other digital revenue streams.</w:t>
      </w: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OPERATING PROFIT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consolidated operating profit increased to US$240 million for the six-month period ended June 30, 2026 compared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US$206 million for the six-month period ended June 30, 2025, primarily as a result of revenue growth across the Group’s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telecommunication and digital streams, including the impact of acquired businesses. The increase was partially offset by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higher cost of services and selling,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general and administrative expenses, primarily due to the consolidation of acquired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businesses and growth in the Group’s operating activities,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well as higher depreciation and amortization expenses, mainly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due to additions to fixed assets and acquired intangible assets.</w:t>
      </w: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NON-OPERATING PROFITS AND LOSSES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Finance costs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Finance costs decreased by US$2 million, or 5%, from US$39 million for the six-month period ended June 30, 2025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US$37 million for the six-month period ended June 30, 2026. Finance costs remained broadly stable for both periods.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Finance income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Finance income decreased by US$3 million, or 27%, from US$11 million for the six-month period ended June 30, 2025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US$8 million for the six-month period ended June 30, 2026. This decrease was primarily attributable to the absence of US$8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million of interest income recognized in the prior year period on a loan to VEON Amsterdam B.V. This decline was partially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offset by higher income earned on deposits during the six-month period ended June 30, 2026.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Other non-operating loss, net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Other non-operating loss, net increased by US$17 million, or 425%, from US$4 million for the six-month period ended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June 30, 2025, to US$21 million for the six-month period ended June 30, 2026. The increase was primarily attributable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non-cash losses arising from changes in the fair value of warrants (US$22 million), partially offset by the absence of certain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losses recognized in the prior-year period, including on the put option liability (US$2 million) and the purchase of foreign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currency to fund investments in Ukrainian government bonds (US$3 million).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Net foreign exchange gain/(loss)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Net foreign exchange gain/(loss) increased by US$24 million, or 184.6%, from a loss of US$13 million for the six-month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period ended June 30, 2025 to a gain of US$11 million for the six-month period ended June 30, 2026. This increase was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primarily attributable to the absence of US$20 million of foreign exchange losses on bonds held by Kyivstar Holdings that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were recognized in the prior year period. Foreign exchange gains generated by depreciation of the Ukrainian hryvnia against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U.S. dollar and Euro during the six-month period ended June 30, 2026 also contributed to the favorable year-over year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variance.</w:t>
      </w: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INCOME TAX EXPENSE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Income taxes increased by US$4 million, or 11.4%, from US$35 million for the six-month period ended June 30, 2025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US$39 million for the six-month period ended June 30, 2026.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This increase was driven by a higher taxable profit in the six-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month period ended June 30, 2026.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9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Table of Contents</w:t>
      </w: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PROFIT FOR THE PERIOD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profit for the period increased by US$36 million, or 28.6%, from US$126 million for the six-month period ended June 30,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2025 to US$162 million for the six-month period ended June 30, 2026, mainly associated with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increased revenues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across the Group’s telecommunication and digital streams, including contributions from recently acquired businesses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higher net foreign exchange gains; partially offset by higher cost of services and selling, general and administrative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expenses, primarily due to the consolidation of acquired businesses and growth in the Group’s operating activities, as well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higher depreciation and amortization expenses and loss from the fair-value remeasurement of warrant liabilities.</w:t>
      </w:r>
    </w:p>
    <w:p>
      <w:pPr>
        <w:pStyle w:val="TextBody"/>
        <w:bidi w:val="0"/>
        <w:spacing w:lineRule="atLeast" w:line="24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NON-IFRS MEASURES AND KEY PERFORMANCE INDICATORS</w:t>
      </w:r>
      <w:r>
        <w:rPr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We also manage our business by tracking Adjusted EBITDA and capital expenditures excluding licenses and rights of use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("Capex excl. licenses and ROU"), which each constitute non-IFRS financial measures. We believe these measures are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useful to investors in evaluating our operating performance. We use non-IFRS measures in addition to our results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determined in accordance with IFRS in order to evaluate our financial and operating performance, to generate future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operating plans and make strategic decisions. We believe that these measures, when taken collectively with financial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measures prepared in accordance with IFRS, may be helpful to investors because they provide additional tools for investors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to use in evaluating our ongoing operating results and trends and in comparing our financial results with other companies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operating in similar industries, subject to differences in the way it is calculated by different companies, because they provide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consistency and comparability with past financial performance. Our computation of Adjusted EBITDA and Capex excl.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licenses and ROU may not be comparable to other similarly entitled measures computed by other companies.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We do not consider Adjusted EBITDA and Capex excl. licenses and ROU in isolation or as alternatives to financial measures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determined in accordance with IFRS. Investors are encouraged to review these measures and their respective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reconciliations to the most directly comparable IFRS financial measures included below and to not rely on any single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financial measure to evaluate our business. Adjusted EBITDA is not a measurement of financial performance under IFRS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and should not be construed as a substitute for profit for the period as a measure of performance, or cash flow from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operations as a measure of liquidity.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We define Adjusted EBITDA as earnings before interest, tax, depreciation, amortization, impairment, gain/loss on disposals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of non-current assets, net foreign exchange (loss)/gain and other non-operating (loss)/gain.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We define Capex excl. licenses and ROU as purchases of property and equipment, new construction, upgrades, intangible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assets, other long-lived assets and related reasonable costs incurred prior to the intended use of the non-current asset,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accounted at the earliest event of advance payment or delivery. Purchases of licenses and capitalized leases are not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included in capital expenditure.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Our Adjusted EBITDA increased to US$361 million for the six-month period ended June 30, 2026 compared to US$306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million for the six-month period ended June 30, 2025, primarily driven by higher revenues. This increase was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partially offset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by higher cost of services, including the impact of gross-basis revenue recognition for Kyivstar TV services, and increased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energy and personnel costs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The following table provides the reconciliation of Adjusted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 xml:space="preserve">EBITDA to profit for the period and purchases of property, plant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and equipment to Capex excl. licenses and ROU for the six-month period ended June 30: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10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Table of Contents</w:t>
      </w:r>
    </w:p>
    <w:tbl>
      <w:tblPr>
        <w:tblW w:w="64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816"/>
        <w:gridCol w:w="109"/>
        <w:gridCol w:w="730"/>
        <w:gridCol w:w="800"/>
      </w:tblGrid>
      <w:tr>
        <w:trPr/>
        <w:tc>
          <w:tcPr>
            <w:tcW w:w="4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gridSpan w:val="2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Six-month period</w:t>
            </w:r>
          </w:p>
        </w:tc>
      </w:tr>
      <w:tr>
        <w:trPr/>
        <w:tc>
          <w:tcPr>
            <w:tcW w:w="48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959595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959595"/>
                <w:sz w:val="16"/>
                <w:u w:val="none"/>
                <w:effect w:val="none"/>
              </w:rPr>
              <w:t>In millions of U.S. dollars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0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800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48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Profit for the period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0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162</w:t>
            </w:r>
          </w:p>
        </w:tc>
        <w:tc>
          <w:tcPr>
            <w:tcW w:w="800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126</w:t>
            </w:r>
          </w:p>
        </w:tc>
      </w:tr>
      <w:tr>
        <w:trPr/>
        <w:tc>
          <w:tcPr>
            <w:tcW w:w="4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Adjustments to reconcile Profit for the period to Adjusted EBITDA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Income taxes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39</w:t>
            </w:r>
          </w:p>
        </w:tc>
        <w:tc>
          <w:tcPr>
            <w:tcW w:w="8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35</w:t>
            </w:r>
          </w:p>
        </w:tc>
      </w:tr>
      <w:tr>
        <w:trPr/>
        <w:tc>
          <w:tcPr>
            <w:tcW w:w="4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Depreciation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78</w:t>
            </w:r>
          </w:p>
        </w:tc>
        <w:tc>
          <w:tcPr>
            <w:tcW w:w="8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66</w:t>
            </w:r>
          </w:p>
        </w:tc>
      </w:tr>
      <w:tr>
        <w:trPr/>
        <w:tc>
          <w:tcPr>
            <w:tcW w:w="48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Amortization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44</w:t>
            </w:r>
          </w:p>
        </w:tc>
        <w:tc>
          <w:tcPr>
            <w:tcW w:w="8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29</w:t>
            </w:r>
          </w:p>
        </w:tc>
      </w:tr>
      <w:tr>
        <w:trPr/>
        <w:tc>
          <w:tcPr>
            <w:tcW w:w="4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Impairment loss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</w:t>
            </w:r>
          </w:p>
        </w:tc>
        <w:tc>
          <w:tcPr>
            <w:tcW w:w="8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</w:t>
            </w:r>
          </w:p>
        </w:tc>
      </w:tr>
      <w:tr>
        <w:trPr/>
        <w:tc>
          <w:tcPr>
            <w:tcW w:w="48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(Gain)/loss on disposal of non-current assets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(5)</w:t>
            </w:r>
          </w:p>
        </w:tc>
        <w:tc>
          <w:tcPr>
            <w:tcW w:w="8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</w:tr>
      <w:tr>
        <w:trPr/>
        <w:tc>
          <w:tcPr>
            <w:tcW w:w="4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Finance costs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37</w:t>
            </w:r>
          </w:p>
        </w:tc>
        <w:tc>
          <w:tcPr>
            <w:tcW w:w="8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39</w:t>
            </w:r>
          </w:p>
        </w:tc>
      </w:tr>
      <w:tr>
        <w:trPr/>
        <w:tc>
          <w:tcPr>
            <w:tcW w:w="48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Finance income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(8)</w:t>
            </w:r>
          </w:p>
        </w:tc>
        <w:tc>
          <w:tcPr>
            <w:tcW w:w="8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(11)</w:t>
            </w:r>
          </w:p>
        </w:tc>
      </w:tr>
      <w:tr>
        <w:trPr/>
        <w:tc>
          <w:tcPr>
            <w:tcW w:w="4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non-operating loss, net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21</w:t>
            </w:r>
          </w:p>
        </w:tc>
        <w:tc>
          <w:tcPr>
            <w:tcW w:w="8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</w:t>
            </w:r>
          </w:p>
        </w:tc>
      </w:tr>
      <w:tr>
        <w:trPr/>
        <w:tc>
          <w:tcPr>
            <w:tcW w:w="48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Net foreign exchange (gain)/loss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(11)</w:t>
            </w:r>
          </w:p>
        </w:tc>
        <w:tc>
          <w:tcPr>
            <w:tcW w:w="8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13</w:t>
            </w:r>
          </w:p>
        </w:tc>
      </w:tr>
      <w:tr>
        <w:trPr/>
        <w:tc>
          <w:tcPr>
            <w:tcW w:w="4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0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Adjusted EBITDA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0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361</w:t>
            </w:r>
          </w:p>
        </w:tc>
        <w:tc>
          <w:tcPr>
            <w:tcW w:w="800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306</w:t>
            </w:r>
          </w:p>
        </w:tc>
      </w:tr>
    </w:tbl>
    <w:tbl>
      <w:tblPr>
        <w:tblW w:w="666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176"/>
        <w:gridCol w:w="109"/>
        <w:gridCol w:w="658"/>
        <w:gridCol w:w="722"/>
      </w:tblGrid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0" w:type="dxa"/>
            <w:gridSpan w:val="2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Six-month period</w:t>
            </w:r>
          </w:p>
        </w:tc>
      </w:tr>
      <w:tr>
        <w:trPr/>
        <w:tc>
          <w:tcPr>
            <w:tcW w:w="51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 millions of U.S. dollars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72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51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Property and equipment: additions, modifications and reassessments 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177</w:t>
            </w:r>
          </w:p>
        </w:tc>
        <w:tc>
          <w:tcPr>
            <w:tcW w:w="722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187</w:t>
            </w:r>
          </w:p>
        </w:tc>
      </w:tr>
      <w:tr>
        <w:trPr/>
        <w:tc>
          <w:tcPr>
            <w:tcW w:w="51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Intangible assets: additions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47</w:t>
            </w:r>
          </w:p>
        </w:tc>
        <w:tc>
          <w:tcPr>
            <w:tcW w:w="72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34</w:t>
            </w:r>
          </w:p>
        </w:tc>
      </w:tr>
      <w:tr>
        <w:trPr/>
        <w:tc>
          <w:tcPr>
            <w:tcW w:w="51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Less: Change in advances for property and  equipment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(26)</w:t>
            </w:r>
          </w:p>
        </w:tc>
        <w:tc>
          <w:tcPr>
            <w:tcW w:w="7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(28)</w:t>
            </w:r>
          </w:p>
        </w:tc>
      </w:tr>
      <w:tr>
        <w:trPr/>
        <w:tc>
          <w:tcPr>
            <w:tcW w:w="51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Less: Change in advances for intangible assets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(4)</w:t>
            </w:r>
          </w:p>
        </w:tc>
        <w:tc>
          <w:tcPr>
            <w:tcW w:w="72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(1)</w:t>
            </w:r>
          </w:p>
        </w:tc>
      </w:tr>
      <w:tr>
        <w:trPr/>
        <w:tc>
          <w:tcPr>
            <w:tcW w:w="51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Less: Additions in licenses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51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Less: Right-of-use assets*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(68)</w:t>
            </w:r>
          </w:p>
        </w:tc>
        <w:tc>
          <w:tcPr>
            <w:tcW w:w="72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(58)</w:t>
            </w:r>
          </w:p>
        </w:tc>
      </w:tr>
      <w:tr>
        <w:trPr/>
        <w:tc>
          <w:tcPr>
            <w:tcW w:w="51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Capex excl. licenses and ROU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126</w:t>
            </w:r>
          </w:p>
        </w:tc>
        <w:tc>
          <w:tcPr>
            <w:tcW w:w="7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134</w:t>
            </w:r>
          </w:p>
        </w:tc>
      </w:tr>
    </w:tbl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/>
          <w:sz w:val="16"/>
          <w:u w:val="single"/>
        </w:rPr>
        <w:t xml:space="preserve">*including additions of right-of-use assets of </w:t>
      </w:r>
      <w:r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</w:rPr>
        <w:t>US$11</w:t>
      </w:r>
      <w:r>
        <w:rPr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/>
          <w:sz w:val="16"/>
          <w:u w:val="single"/>
        </w:rPr>
        <w:t>millions in 2026 and 2025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SELECTED PERFORMANCE INDICATORS</w:t>
      </w:r>
    </w:p>
    <w:tbl>
      <w:tblPr>
        <w:tblW w:w="53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91"/>
        <w:gridCol w:w="109"/>
        <w:gridCol w:w="916"/>
        <w:gridCol w:w="916"/>
        <w:gridCol w:w="109"/>
        <w:gridCol w:w="841"/>
      </w:tblGrid>
      <w:tr>
        <w:trPr/>
        <w:tc>
          <w:tcPr>
            <w:tcW w:w="24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82" w:type="dxa"/>
            <w:gridSpan w:val="4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Six-month period ended June 30</w:t>
            </w:r>
          </w:p>
        </w:tc>
      </w:tr>
      <w:tr>
        <w:trPr/>
        <w:tc>
          <w:tcPr>
            <w:tcW w:w="24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9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2026-2025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change %</w:t>
            </w:r>
          </w:p>
        </w:tc>
      </w:tr>
      <w:tr>
        <w:trPr/>
        <w:tc>
          <w:tcPr>
            <w:tcW w:w="24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Doubleplay 4G customers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5,015,353</w:t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6,097,979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(17.8)%</w:t>
            </w:r>
          </w:p>
        </w:tc>
      </w:tr>
      <w:tr>
        <w:trPr/>
        <w:tc>
          <w:tcPr>
            <w:tcW w:w="24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Mobile ARPU in US$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3.9</w:t>
            </w:r>
          </w:p>
        </w:tc>
        <w:tc>
          <w:tcPr>
            <w:tcW w:w="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3.4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12.5%</w:t>
            </w:r>
          </w:p>
        </w:tc>
      </w:tr>
      <w:tr>
        <w:trPr/>
        <w:tc>
          <w:tcPr>
            <w:tcW w:w="24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Mobile customers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21,755,548</w:t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22,393,656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(2.8)%</w:t>
            </w:r>
          </w:p>
        </w:tc>
      </w:tr>
      <w:tr>
        <w:trPr/>
        <w:tc>
          <w:tcPr>
            <w:tcW w:w="24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Multiplay customers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8,051,237</w:t>
            </w:r>
          </w:p>
        </w:tc>
        <w:tc>
          <w:tcPr>
            <w:tcW w:w="9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6,515,491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23.6%</w:t>
            </w:r>
          </w:p>
        </w:tc>
      </w:tr>
      <w:tr>
        <w:trPr/>
        <w:tc>
          <w:tcPr>
            <w:tcW w:w="24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 digital monthly active users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21,355,102</w:t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13,367,351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59.8%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Doubleplay 4G customers are mobile customers who used both our voice and data services via 4G (LTE) technology at any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time during the one month prior to such measurement date.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Mobile customers are customers in the registered customer base as of a given measurement date who engaged in a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revenue-generating activity at any time during the three months prior to such measurement date. Such activity includes any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outgoing calls, customer fee accruals, debits related to service, outgoing SMS and MMS, data transmission and receipt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sessions, but does not include incoming calls, SMS and MMS or abandoned calls. Our total number of mobile customers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11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Table of Contents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also includes customers using mobile internet service via USB modems. Throughout this report, we refer to "mobile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customers" and "subscribers" interchangeably in reference to our mobile customers.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Multiplay customers are customers who used both our voice and data services via 4G (LTE) technology and also used one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or more of our digital products at any time during the one month prior to such measurement date.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Total digital MAU is a gross total cumulative MAU of applications offered. Under this metric, a single individual who is active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in more than one application is counted as a separate MAU under each such application, such that the total digital MAUs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may include individuals being counted more than once.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tbl>
      <w:tblPr>
        <w:tblW w:w="698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161"/>
        <w:gridCol w:w="109"/>
        <w:gridCol w:w="810"/>
        <w:gridCol w:w="900"/>
      </w:tblGrid>
      <w:tr>
        <w:trPr/>
        <w:tc>
          <w:tcPr>
            <w:tcW w:w="5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0" w:type="dxa"/>
            <w:gridSpan w:val="2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Six-month period ended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June 30</w:t>
            </w:r>
          </w:p>
        </w:tc>
      </w:tr>
      <w:tr>
        <w:trPr/>
        <w:tc>
          <w:tcPr>
            <w:tcW w:w="51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959595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959595"/>
                <w:sz w:val="16"/>
                <w:u w:val="none"/>
                <w:effect w:val="none"/>
              </w:rPr>
              <w:t>In millions of U.S. dollars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900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5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Telecommunications revenue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518</w:t>
            </w:r>
          </w:p>
        </w:tc>
        <w:tc>
          <w:tcPr>
            <w:tcW w:w="9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480</w:t>
            </w:r>
          </w:p>
        </w:tc>
      </w:tr>
      <w:tr>
        <w:trPr/>
        <w:tc>
          <w:tcPr>
            <w:tcW w:w="51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Telecommunications revenue from Kyivstar mobile subscribers used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 calculate Mobile ARPU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493</w:t>
            </w:r>
          </w:p>
        </w:tc>
        <w:tc>
          <w:tcPr>
            <w:tcW w:w="9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465</w:t>
            </w:r>
          </w:p>
        </w:tc>
      </w:tr>
      <w:tr>
        <w:trPr/>
        <w:tc>
          <w:tcPr>
            <w:tcW w:w="5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Digital revenue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141</w:t>
            </w:r>
          </w:p>
        </w:tc>
        <w:tc>
          <w:tcPr>
            <w:tcW w:w="9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59</w:t>
            </w:r>
          </w:p>
        </w:tc>
      </w:tr>
      <w:tr>
        <w:trPr/>
        <w:tc>
          <w:tcPr>
            <w:tcW w:w="51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Digital revenue used to calculate Mobile ARPU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</w:t>
            </w:r>
          </w:p>
        </w:tc>
        <w:tc>
          <w:tcPr>
            <w:tcW w:w="9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</w:t>
            </w:r>
          </w:p>
        </w:tc>
      </w:tr>
      <w:tr>
        <w:trPr/>
        <w:tc>
          <w:tcPr>
            <w:tcW w:w="51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Infrastructure revenue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</w:t>
            </w:r>
          </w:p>
        </w:tc>
        <w:tc>
          <w:tcPr>
            <w:tcW w:w="90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51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 revenue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662</w:t>
            </w:r>
          </w:p>
        </w:tc>
        <w:tc>
          <w:tcPr>
            <w:tcW w:w="90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539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Mobile ARPU measures the monthly average revenue per mobile user. Telecommunications revenue used to calculate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Mobile ARPU excludes guest roaming and wholesale international interconnection revenue because these are not generated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by our customers but are proceeds received from other operators for the services received by their subscribers. Revenue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from UTC, Helsi, Uklon, Tabletki and big data and cloud services are excluded from revenue used to calculate Mobile ARPU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because revenue from these sources may originate from guest users and non-mobile platforms. The digital revenue that is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included in the revenue used to calculate Mobile ARPU comes from digital services that are included in our bundle offers for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mobile subscribers, such as Kyivstar TV. Revenue attributed to fixed business is also excluded from revenue used for the</w:t>
      </w:r>
      <w:r>
        <w:rPr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calculation of Mobile ARPU.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As of June 30, 2026, we had 21.8 million mobile customers, representing a decrease of 2.8% compared to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June 30, 2025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 xml:space="preserve">.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 xml:space="preserve">This was primarily due to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the continued impact of war-related demographic factors, including population displacement and 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migration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.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Mobile ARPU increased to US$3.90 from US$3.40 or by 12.5% for the six-month period ended</w:t>
      </w:r>
      <w:r>
        <w:rPr>
          <w:caps w:val="false"/>
          <w:smallCaps w:val="fals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June 30, 2026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 xml:space="preserve">compared to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the six-month period ended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June 30, 2025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 xml:space="preserve">primarily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due to tariff optimization and repricing actions, continued modernization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 subscriber base, and increased mobile data usage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FFFFFF" w:val="clear"/>
        </w:rPr>
        <w:t>.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12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color w:val="0000FF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FF"/>
          <w:sz w:val="20"/>
          <w:u w:val="single"/>
        </w:rPr>
        <w:t>Table of Contents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LIQUIDITY AND CAPITAL RESOURCES</w:t>
      </w: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GOING CONCERN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Despite the ongoing war and related uncertainties, the Group continued to deliver strong financial and operational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performance during the six months ended June 30, 2026. We maintained service continuity, generated positive operating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cash flows, maintained a strong liquidity position and continued investing in network resilience, digital services and strategic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acquisitions. These factors were considered by management in assessing the Group's ability to continue as a going concern.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As of June 30, 2026, most of our employees remain in Ukraine, while millions of people have fled Ukraine and the country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has sustained significant damage to infrastructure and assets.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ongoing war in Ukraine, the sanctions imposed on Russia by various jurisdictions, counter sanctions and other legal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regulatory measures, as well as responses by our service providers, partners, suppliers and other counterparties, including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certain professional service providers we rely on, and the consequences of all the foregoing, have negatively impacted and,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if the war, sanctions and such responses continue or escalate, will continue to negatively impact, aspects of our operations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results.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unaudited interim condensed consolidated financial statements have been prepared on a going concern basis.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accordance with IAS 1, we have determined that the aforementioned conditions and events, considered in the aggregate,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may cast substantial doubt on our ability to continue as a going concern for at least 12 months after the date these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consolidated financial statements were authorized for issuance. We expect the actions we have taken or will take will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mitigate the risk associated with the identified events and conditions. However, given the uncertainty and exogenous nature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 the ongoing war and potential sanctions, as well as potential new counter-sanctions we concluded that a material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uncertainty remains related to events or conditions that may cast substantial doubt on our ability to continue as a going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concern, such that we may be unable to realize our assets and discharge our liabilities in the normal course of our business.</w:t>
      </w: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LIQUIDITY AND CAPITAL RESOURCES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ability to generate sufficient cash for our ongoing operations depends on our operating performance, which in turn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depends, to some extent, on general economic, financial, industry, regulatory and other factors, many of which are beyond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control.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Group maintained a strong liquidity position as of June 30, 2026, supported by robust operating cash flow generation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despite significant investments in strategic investments during the period.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Working capital decreased by US$72 million from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US$194 million to US$122 million during the six months ended 30 June 2026, primarily reflecting a US$95 million decrease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current assets, partly offset by a US$23 million decrease in current liabilities. The decrease in current assets was mainly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attributable to a US$91 million reduction in cash and cash equivalents. While the Group generated US$331 million of net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cash from operating activities, this was more than offset by cash used in investing activities, primarily relating to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acquisition of new subsidiaries, net of cash acquired. The decrease in current liabilities was primarily driven by a US$40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million reduction in current debt and derivative liabilities, mainly reflecting the repayment of bonds of US$11 million and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lower current portion of lease liabilities (see </w:t>
      </w:r>
      <w:hyperlink w:anchor="i93c99386c4434edbac929edca4af06af_58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Note 8 - Investments, debt and derivatives</w:t>
        </w:r>
      </w:hyperlink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the unaudited interim condensed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consolidated financial statements attached hereto). The latter was primarily due to the commencement of new lease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agreements with standard contractual terms following the expiry of certain lease agreements at the beginning of 2026,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resulting in a greater proportion of lease liabilities being classified as non-current.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primary sources of liquidity are the cash flows generated by our operations. In addition, the exercise of outstanding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public warrants could provide additional cash proceeds; however, the timing and amount of any of such proceeds depend 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whether holders elect to exercise their warrants. We believe that this liquidity structure allows us to sustain fluctuations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cash flow development. Liquidity inflows and outflows of operating companies are monitored and coordinated centrally by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corporate treasury department. As of June 30, 2026, our cash and cash equivalents included US$351 million at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Company's operating companies as cash at banks, current deposits and purchased short-term Ukrainian Sovereign Bonds,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cash of US$6.9 million at Kyivstar Holdings B.V. as cash at banks and money market funds and US$6.4 million at Kyivstar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Group Ltd. as cash at banks and money market funds. Additionally, an indemnity agreement between Kyivstar Holdings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VEON Amsterdam is in place which is to see Kyivstar Holdings made whole for any external payments to eligible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noteholders to cover the estimated repayment of the 2025 Bonds. For the year ended December 31, 2025, our cash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cash equivalents included cash US$440 million at the Company's operating companies as cash at banks, current deposits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purchased short-term Ukrainian Sovereign Bonds, US$6.8 million at Kyivstar Holdings as cash at banks and money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market funds and US$8.5 million at Kyivstar Group Ltd. as cash at banks.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13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color w:val="0000FF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FF"/>
          <w:sz w:val="20"/>
          <w:u w:val="single"/>
        </w:rPr>
        <w:t>Table of Contents</w:t>
      </w: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CASH FLOWS</w:t>
      </w:r>
    </w:p>
    <w:tbl>
      <w:tblPr>
        <w:tblW w:w="566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721"/>
        <w:gridCol w:w="109"/>
        <w:gridCol w:w="109"/>
        <w:gridCol w:w="196"/>
        <w:gridCol w:w="662"/>
        <w:gridCol w:w="145"/>
        <w:gridCol w:w="722"/>
      </w:tblGrid>
      <w:tr>
        <w:trPr/>
        <w:tc>
          <w:tcPr>
            <w:tcW w:w="37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9" w:type="dxa"/>
            <w:gridSpan w:val="3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Six-month period</w:t>
            </w:r>
          </w:p>
        </w:tc>
      </w:tr>
      <w:tr>
        <w:trPr/>
        <w:tc>
          <w:tcPr>
            <w:tcW w:w="37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959595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959595"/>
                <w:sz w:val="16"/>
                <w:u w:val="none"/>
                <w:effect w:val="none"/>
              </w:rPr>
              <w:t>(In millions of U.S. dollars)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4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2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3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Net cash flows from operating activities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331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2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265</w:t>
            </w:r>
          </w:p>
        </w:tc>
      </w:tr>
      <w:tr>
        <w:trPr/>
        <w:tc>
          <w:tcPr>
            <w:tcW w:w="3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Net cash flows (used in) / from investing activities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(382)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128</w:t>
            </w:r>
          </w:p>
        </w:tc>
      </w:tr>
      <w:tr>
        <w:trPr/>
        <w:tc>
          <w:tcPr>
            <w:tcW w:w="3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Net cash flows used in financing activities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(32)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(618)</w:t>
            </w:r>
          </w:p>
        </w:tc>
      </w:tr>
      <w:tr>
        <w:trPr/>
        <w:tc>
          <w:tcPr>
            <w:tcW w:w="3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Net foreign exchange difference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</w:t>
            </w:r>
          </w:p>
        </w:tc>
        <w:tc>
          <w:tcPr>
            <w:tcW w:w="6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(8)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</w:t>
            </w:r>
          </w:p>
        </w:tc>
      </w:tr>
      <w:tr>
        <w:trPr/>
        <w:tc>
          <w:tcPr>
            <w:tcW w:w="3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Cash and cash equivalents at beginning of period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455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674</w:t>
            </w:r>
          </w:p>
        </w:tc>
      </w:tr>
      <w:tr>
        <w:trPr/>
        <w:tc>
          <w:tcPr>
            <w:tcW w:w="3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Cash and cash equivalents at end of period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364</w:t>
            </w:r>
          </w:p>
        </w:tc>
        <w:tc>
          <w:tcPr>
            <w:tcW w:w="1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458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 more details, see the interim condensed consolidated statement of cash flows in our unaudited interim condensed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consolidated financial statements.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  <w:t>OPERATING ACTIVITIES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Net cash flows from operating activities increased by US$66 million, from US$265 million for the six-month period ended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June 30, 2025 to US$331 million for the six-month period ended June 30, 2026.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This increase was primarily attributable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higher operating profits mainly associated with the increased revenues across the Group’s telecommunication and digital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streams, including contributions from recently acquired businesses, partially offset by higher cost of services and selling,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general and administrative expenses, primarily due to the consolidation of acquired businesses and growth in the Group’s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operating activities. Additionally, higher interest received from deposits and lower income tax paid were also contributory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increase in cash flow from operating activities. Working capital changes remained broadly stable for both periods.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  <w:t>INVESTING ACTIVITIES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Net cash flows used in investing activities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increased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by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US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$510 million, from an inflow of US$128 million for the six-month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period ended June 30, 2025 to an outflow of US$382 million for the six-month period ended June 30, 2026.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This increase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driven primarily by the acquisitions of Shtorm, Tabletki and six solar power plants, for aggregate consideration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US$234 million, US$18 million of higher capital expenditure on property, plant and equipment and intangible assets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US$25 million net investment in financial assets, after deposit inflows, all of which occurred during the six-month period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ended June 30, 2026.  Additionally, the non-recurrence of a US$364 million loan received from VEON Amsterdam B.V. in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prior-year period, partially offset by the non-recurrence of a US$141 million cash outflow relating to the acquisition of Uklon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the six-month period ended June 30, 2025 were also contributory factors to the change.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  <w:t>Acquisitions and Disposals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During the six months ended June 30, 2026, the Group completed the acquisition of Tabletki Group, ISP Shtorm LLC,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six solar power plants, further expanding its digital services and energy infrastructure. These acquisitions resulted in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recognition of goodwill and identifiable intangible assets, reflecting expected synergies, future growth opportunities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acquired customer relationships. There were no material disposals during the period.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further information on these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transactions, including preliminary purchase price allocations and assets acquired see </w:t>
      </w:r>
      <w:hyperlink w:anchor="i93c99386c4434edbac929edca4af06af_46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Note 5 - Significant transactions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, </w:t>
      </w:r>
      <w:hyperlink w:anchor="i93c99386c4434edbac929edca4af06af_49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Note</w:t>
        </w:r>
      </w:hyperlink>
      <w:hyperlink w:anchor="i93c99386c4434edbac929edca4af06af_49">
        <w:r>
          <w:rPr>
            <w:rStyle w:val="InternetLink"/>
            <w:caps w:val="false"/>
            <w:smallCaps w:val="false"/>
            <w:color w:val="0000FF"/>
            <w:sz w:val="24"/>
            <w:u w:val="single"/>
          </w:rPr>
          <w:t xml:space="preserve"> </w:t>
        </w:r>
      </w:hyperlink>
    </w:p>
    <w:p>
      <w:pPr>
        <w:pStyle w:val="TextBody"/>
        <w:bidi w:val="0"/>
        <w:spacing w:lineRule="atLeast" w:line="180" w:before="0" w:after="0"/>
        <w:jc w:val="both"/>
        <w:rPr/>
      </w:pPr>
      <w:hyperlink w:anchor="i93c99386c4434edbac929edca4af06af_49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6 - Property and Equipment</w:t>
        </w:r>
      </w:hyperlink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and </w:t>
      </w:r>
      <w:hyperlink w:anchor="i93c99386c4434edbac929edca4af06af_52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Note 7 - Intangible Assets and Goodwill</w:t>
        </w:r>
      </w:hyperlink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the unaudited interim condensed consolidated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financial statements attached hereto.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  <w:t>FINANCING ACTIVITIES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Net cash used in financing activities decreased by US$586 million, from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US$618 million for the six-month period ended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June 30, 2025 to US$32 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for the six-month period ended June 30, 2026.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This change primarily reflected repayment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debt, including the repayment of the Kyivstar Holding B.V. bonds, and payments of lease liabilities.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 additional information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regarding changes to our debt portfolio and lease liabilities,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see </w:t>
      </w:r>
      <w:hyperlink w:anchor="i93c99386c4434edbac929edca4af06af_58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Note 8 - Investments, debt and derivatives</w:t>
        </w:r>
      </w:hyperlink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the unaudited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interim condensed consolidated financial statements attached hereto.</w:t>
      </w: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INDEBTEDNESS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We held the following outstanding debt and derivatives liabilities as of June 30, 2026 and December 31, 2025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14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color w:val="0000FF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FF"/>
          <w:sz w:val="20"/>
          <w:u w:val="single"/>
        </w:rPr>
        <w:t>Table of Contents</w:t>
      </w:r>
    </w:p>
    <w:tbl>
      <w:tblPr>
        <w:tblW w:w="593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46"/>
        <w:gridCol w:w="109"/>
        <w:gridCol w:w="991"/>
        <w:gridCol w:w="109"/>
        <w:gridCol w:w="1381"/>
      </w:tblGrid>
      <w:tr>
        <w:trPr/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In millions of U.S. dollars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June 30, 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December 31, 2025</w:t>
            </w:r>
          </w:p>
        </w:tc>
      </w:tr>
      <w:tr>
        <w:trPr/>
        <w:tc>
          <w:tcPr>
            <w:tcW w:w="33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At fair value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Warrants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27</w:t>
            </w:r>
          </w:p>
        </w:tc>
      </w:tr>
      <w:tr>
        <w:trPr/>
        <w:tc>
          <w:tcPr>
            <w:tcW w:w="33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 at fair value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27</w:t>
            </w:r>
          </w:p>
        </w:tc>
      </w:tr>
      <w:tr>
        <w:trPr/>
        <w:tc>
          <w:tcPr>
            <w:tcW w:w="33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At discounted redemption amount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Put option liability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</w:tr>
      <w:tr>
        <w:trPr/>
        <w:tc>
          <w:tcPr>
            <w:tcW w:w="33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 at discounted redemption amount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</w:tr>
      <w:tr>
        <w:trPr/>
        <w:tc>
          <w:tcPr>
            <w:tcW w:w="33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At amortized cost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Bonds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38</w:t>
            </w:r>
          </w:p>
        </w:tc>
      </w:tr>
      <w:tr>
        <w:trPr/>
        <w:tc>
          <w:tcPr>
            <w:tcW w:w="33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Interest accrued on Bonds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</w:tr>
      <w:tr>
        <w:trPr/>
        <w:tc>
          <w:tcPr>
            <w:tcW w:w="33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Lease liabilities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374</w:t>
            </w:r>
          </w:p>
        </w:tc>
      </w:tr>
      <w:tr>
        <w:trPr/>
        <w:tc>
          <w:tcPr>
            <w:tcW w:w="33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Loan Note Payable - VEON Amsterdam B.V.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57</w:t>
            </w:r>
          </w:p>
        </w:tc>
      </w:tr>
      <w:tr>
        <w:trPr/>
        <w:tc>
          <w:tcPr>
            <w:tcW w:w="33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financial liabilities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</w:t>
            </w:r>
          </w:p>
        </w:tc>
      </w:tr>
      <w:tr>
        <w:trPr/>
        <w:tc>
          <w:tcPr>
            <w:tcW w:w="33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 at amortized cost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493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487</w:t>
            </w:r>
          </w:p>
        </w:tc>
      </w:tr>
      <w:tr>
        <w:trPr/>
        <w:tc>
          <w:tcPr>
            <w:tcW w:w="33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 debt and derivatives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544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516</w:t>
            </w:r>
          </w:p>
        </w:tc>
      </w:tr>
      <w:tr>
        <w:trPr/>
        <w:tc>
          <w:tcPr>
            <w:tcW w:w="33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Non-current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355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287</w:t>
            </w:r>
          </w:p>
        </w:tc>
      </w:tr>
      <w:tr>
        <w:trPr/>
        <w:tc>
          <w:tcPr>
            <w:tcW w:w="33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Current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189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229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derivative instruments at discounted redemption amount relate to our Uklon put option, which amounted to US$1 million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our Helsi put option, which amounted to US$1 million as of June 30, 2026.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During the six-months ended June 30, 2026, Kyivstar Holdings B.V. partially settled April 2025 Old Notes in the aggregate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amount of US$11 million, comprising US$10 million of principal and less than US$1 million of accrued interest.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May 28, 2026, the Company settled an additional US$9 million, consisting of US$5 million of principal and US$4 million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 accrued interest for the Loan Note payable to VEON Amsterdam B.V., through an offset against amounts receivable from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VEON Amsterdam B.V. (see </w:t>
      </w:r>
      <w:hyperlink w:anchor="i93c99386c4434edbac929edca4af06af_7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Note 12</w:t>
        </w:r>
      </w:hyperlink>
      <w:r>
        <w:rPr>
          <w:caps w:val="false"/>
          <w:smallCaps w:val="false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to the unaudited interim condensed consolidated financial statements attached hereto).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the same date, the loan note agreement was amended to extend the maturity date from August 12, 2026 to August 12,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2028. The remaining balance, including accrued interest, as of June 30, 2026 is US$53 million.</w:t>
      </w: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CASH SUBJECT TO CURRENCY AND CONTRACTUAL RESTRICTIONS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ongoing war in Ukraine has significantly impaired our ability to make cash transfers into and out of Ukraine. In Ukraine,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more stringent capital controls were introduced by the National Bank of Ukraine("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NBU")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February 24, 2022 in connection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with the declaration of martial law, which generally prohibit JSC Kyivstar and its subsidiaries from making any interest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dividend payments to Kyivstar Group and transferring foreign currency to entities outside of Ukraine unless such payments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fall under a limited set of statutory exemptions. The capital controls are expected to last for the duration of the application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martial law, and it is uncertain whether they will be relaxed by the NBU when martial law ends. Currently, it is not possible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predict how long the martial law in Ukraine will last as it has been extended every 90 days since February 2022. However,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as of May 13, 2024, the NBU has permitted Ukrainian companies to pay dividends accrued for the calendar year 2024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subsequent years and additionally in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August, 20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25, permitted the repatriation of dividends for the calendar year 2023 to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foreign investors abroad. Investors can repatriate dividends up to the equivalent of €1 million per calendar month.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FUTURE LIQUIDITY AND CAPITAL REQUIREMENTS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During the six-month period ended June 30, 2026, our capital expenditures excluding licenses and right-of-use assets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(“CAPEX exc. licenses and ROU”) were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US$126 million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compared to US$134 million in the six-month period ended June 30,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2025.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decrease was primarily due to intensive modernization of network in 2025.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15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color w:val="0000FF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FF"/>
          <w:sz w:val="20"/>
          <w:u w:val="single"/>
        </w:rPr>
        <w:t>Table of Contents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There were no material changes in our capital commitments for the future purchase of property and equipment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intangible assets or other guarantees and contingent liabilities from those disclosed in our 2025 Annual Report on Form 20-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F. We have no other incremental commitments, guarantees or contingent liabilities.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ability to generate revenue is dependent upon the operation of the wireless telecommunications networks authorized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under our various licenses for GSM-900/1800, "3G" (UMTS/WCDMA) mobile radiotelephone communications services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"4G" (LTE). Under the license agreements, operating companies are subject to certain commitments, such as territory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population coverage, level of capital expenditures and number of base stations to be fulfilled within a certain timeframe. If we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are found to be involved in practices that do not comply with applicable laws or regulations, we may be exposed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significant fines, the risk of prosecution or the suspension or loss of our licenses, frequency allocations, authorizations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various permissions, any of which could harm our business, financial condition, results of operations or cash flows. After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expiration of the license, our operating companies might be subject to additional payments for renewals, as well as new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license capital and other commitments.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medium-term plan for capital expenditures (excluding licenses and right-of-use assets) continues to focus on investment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network resilience, further fiber rollout and energy security. During the period, network modernization, regulatory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compliance measures, and power-saving feature installations are key drivers of year-over-year capital expenditure growth,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ensuring high quality standards for customers.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Management anticipates that the funds necessary to meet our current and expected capital requirements in the foreseeable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future (including with respect to any possible acquisitions) will continue to come from: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Cash we currently hold;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Operating cash flows; and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Issuances of debt securities on local and international capital markets, with international capital markets expected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to be reestablished as a viable funding source.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Following the onset of the war in Ukraine, our ability to generate cash to service our indebtedness has been materially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impaired, due to restrictive currency controls in Ukraine, and the development of sanctions in connection with the war.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availability of external financing depends on many factors, including, but not limited to, the success of our operations,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contractual restrictions, the financial position of international and local banks, the willingness of international and local banks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to lend to our companies (including as a result of any sanctions concerns) and the liquidity and strength of international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local capital markets. Due to the adverse impact the ongoing war between Russia and Ukraine has had on us, the terms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such external financing may be less favorable than our existing financing. Furthermore, our ability to raise additional capital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the cost of raising such additional capital is affected by the strength of our credit rating by rating agencies, which 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currently below the credit rating that we had when the current Kyivstar Holdings financings were originally established.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As of June 30, 2026, the Company had total cash &amp; cash equivalents of approximately US$364 million. This comprised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approximately US$13 million of cash held at the level of its headquarters (“HQ”), which was deposited with international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banks and invested in money market funds, and which is fully accessible at HQ. In addition, the Company's operating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companies had a total cash position equivalent to US$351 million of which US$323 million held in banks in Ukraine.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QUANTITATIVE AND QUALITATIVE DISCLOSURES ABOUT MARKET RISK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We are exposed to market risk arising from fluctuations in foreign currency exchange rates and changes in interest rates 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obligations. As of June 30, 2026, our principal foreign currency exposures relate to the Ukrainian hryvnia, and to a small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extent the Uzbekistani som. Substantially all cash flows from our operating activities in Ukraine and Uzbekistan 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denominated in their respective functional currencies, while a significant portion of our indebtedness is denominated in U.S.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dollars  unless incurred in, or economically hedged to, those local currencies.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mitigate the risk of local currency depreciation, we maintain a portion of our cash and cash equivalents in U.S. dollars. 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June 30, 2026, approximately 51% of our cash and bank deposits were held in in U.S. dollars, compared to 58% as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December 31, 2025.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 depreciation of the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Ukrainian hryvnia, and to a lesser extent Uzbekistani som, against the U.S. dollar could increase the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local currency cost of servicing our U.S. dollar denominated debt, reduce the U.S dollar value of cash flows generated by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16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color w:val="0000FF"/>
          <w:sz w:val="20"/>
          <w:u w:val="singl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FF"/>
          <w:sz w:val="20"/>
          <w:u w:val="single"/>
        </w:rPr>
        <w:t>Table of Contents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operations, and  adversely affect our liquidity, financial condition, results of operations and ability to repay or refinance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existing indebtedness.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Consistent with our treasury policies, we do not engage in derivative or treasury transactions for speculative purposes.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treasury function maintains risk management policies and procedures designed to monitor and manage foreign currency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risk, including guidelines governing the management and mitigation of foreign exchange exposures.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17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0" w:before="0" w:after="0"/>
        <w:jc w:val="both"/>
        <w:rPr>
          <w:caps w:val="false"/>
          <w:smallCaps w:val="false"/>
          <w:u w:val="single"/>
        </w:rPr>
      </w:pPr>
      <w:r>
        <w:rPr>
          <w:caps w:val="false"/>
          <w:smallCaps w:val="false"/>
          <w:u w:val="single"/>
        </w:rPr>
        <w:t> </w:t>
      </w:r>
    </w:p>
    <w:p>
      <w:pPr>
        <w:pStyle w:val="TextBody"/>
        <w:bidi w:val="0"/>
        <w:spacing w:lineRule="atLeast" w:line="200" w:before="0" w:after="0"/>
        <w:jc w:val="both"/>
        <w:rPr>
          <w:caps w:val="false"/>
          <w:smallCaps w:val="false"/>
          <w:u w:val="single"/>
        </w:rPr>
      </w:pPr>
      <w:r>
        <w:rPr>
          <w:caps w:val="false"/>
          <w:smallCaps w:val="false"/>
          <w:u w:val="single"/>
        </w:rPr>
        <w:t> </w:t>
      </w:r>
    </w:p>
    <w:p>
      <w:pPr>
        <w:pStyle w:val="TextBody"/>
        <w:bidi w:val="0"/>
        <w:spacing w:lineRule="atLeast" w:line="240" w:before="0" w:after="0"/>
        <w:jc w:val="both"/>
        <w:rPr>
          <w:caps w:val="false"/>
          <w:smallCaps w:val="false"/>
          <w:u w:val="single"/>
        </w:rPr>
      </w:pPr>
      <w:r>
        <w:rPr>
          <w:caps w:val="false"/>
          <w:smallCaps w:val="false"/>
          <w:u w:val="single"/>
        </w:rPr>
        <w:t> 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Unaudited interim condensed consolidated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financial statements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Kyivstar Group Ltd.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As of and for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six and three-month period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 xml:space="preserve">s ended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30, 2026</w:t>
      </w:r>
    </w:p>
    <w:tbl>
      <w:tblPr>
        <w:tblW w:w="92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24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24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1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TABLE OF CONTENTS</w:t>
      </w:r>
    </w:p>
    <w:tbl>
      <w:tblPr>
        <w:tblW w:w="688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6196"/>
        <w:gridCol w:w="36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52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Interim condensed consolidated income statement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2</w:t>
              </w:r>
            </w:hyperlink>
          </w:p>
        </w:tc>
      </w:tr>
      <w:tr>
        <w:trPr/>
        <w:tc>
          <w:tcPr>
            <w:tcW w:w="652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1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Interim condensed consolidated statement of comprehensive income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1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3</w:t>
              </w:r>
            </w:hyperlink>
          </w:p>
        </w:tc>
      </w:tr>
      <w:tr>
        <w:trPr/>
        <w:tc>
          <w:tcPr>
            <w:tcW w:w="652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1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80"/>
                  <w:sz w:val="20"/>
                  <w:u w:val="single"/>
                </w:rPr>
                <w:t xml:space="preserve">Interim condensed </w:t>
              </w:r>
            </w:hyperlink>
            <w:hyperlink w:anchor="i93c99386c4434edbac929edca4af06af_1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80"/>
                  <w:sz w:val="20"/>
                  <w:u w:val="single"/>
                </w:rPr>
                <w:t>consolidated</w:t>
              </w:r>
            </w:hyperlink>
            <w:hyperlink w:anchor="i93c99386c4434edbac929edca4af06af_13">
              <w:r>
                <w:rPr>
                  <w:rStyle w:val="InternetLink"/>
                  <w:caps w:val="false"/>
                  <w:smallCaps w:val="false"/>
                  <w:color w:val="0000FF"/>
                  <w:u w:val="single"/>
                </w:rPr>
                <w:t xml:space="preserve"> </w:t>
              </w:r>
            </w:hyperlink>
            <w:hyperlink w:anchor="i93c99386c4434edbac929edca4af06af_1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statement of financial position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1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4</w:t>
              </w:r>
            </w:hyperlink>
          </w:p>
        </w:tc>
      </w:tr>
      <w:tr>
        <w:trPr/>
        <w:tc>
          <w:tcPr>
            <w:tcW w:w="652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1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80"/>
                  <w:sz w:val="20"/>
                  <w:u w:val="single"/>
                </w:rPr>
                <w:t xml:space="preserve">Interim condensed </w:t>
              </w:r>
            </w:hyperlink>
            <w:hyperlink w:anchor="i93c99386c4434edbac929edca4af06af_1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80"/>
                  <w:sz w:val="20"/>
                  <w:u w:val="single"/>
                </w:rPr>
                <w:t>consolidated</w:t>
              </w:r>
            </w:hyperlink>
            <w:hyperlink w:anchor="i93c99386c4434edbac929edca4af06af_16">
              <w:r>
                <w:rPr>
                  <w:rStyle w:val="InternetLink"/>
                  <w:caps w:val="false"/>
                  <w:smallCaps w:val="false"/>
                  <w:color w:val="0000FF"/>
                  <w:u w:val="single"/>
                </w:rPr>
                <w:t xml:space="preserve"> </w:t>
              </w:r>
            </w:hyperlink>
            <w:hyperlink w:anchor="i93c99386c4434edbac929edca4af06af_1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statement of changes in equity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1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5</w:t>
              </w:r>
            </w:hyperlink>
          </w:p>
        </w:tc>
      </w:tr>
      <w:tr>
        <w:trPr/>
        <w:tc>
          <w:tcPr>
            <w:tcW w:w="652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1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80"/>
                  <w:sz w:val="20"/>
                  <w:u w:val="single"/>
                </w:rPr>
                <w:t xml:space="preserve">Interim condensed </w:t>
              </w:r>
            </w:hyperlink>
            <w:hyperlink w:anchor="i93c99386c4434edbac929edca4af06af_1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80"/>
                  <w:sz w:val="20"/>
                  <w:u w:val="single"/>
                </w:rPr>
                <w:t>consolidated</w:t>
              </w:r>
            </w:hyperlink>
            <w:hyperlink w:anchor="i93c99386c4434edbac929edca4af06af_19">
              <w:r>
                <w:rPr>
                  <w:rStyle w:val="InternetLink"/>
                  <w:caps w:val="false"/>
                  <w:smallCaps w:val="false"/>
                  <w:color w:val="0000FF"/>
                  <w:u w:val="single"/>
                </w:rPr>
                <w:t xml:space="preserve"> </w:t>
              </w:r>
            </w:hyperlink>
            <w:hyperlink w:anchor="i93c99386c4434edbac929edca4af06af_1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statement of cash flows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1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7</w:t>
              </w:r>
            </w:hyperlink>
          </w:p>
        </w:tc>
      </w:tr>
      <w:tr>
        <w:trPr/>
        <w:tc>
          <w:tcPr>
            <w:tcW w:w="652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2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General information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2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8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</w:t>
            </w:r>
          </w:p>
        </w:tc>
        <w:tc>
          <w:tcPr>
            <w:tcW w:w="61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2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General information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2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8</w:t>
              </w:r>
            </w:hyperlink>
          </w:p>
        </w:tc>
      </w:tr>
      <w:tr>
        <w:trPr/>
        <w:tc>
          <w:tcPr>
            <w:tcW w:w="652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3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Operating activities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3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15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</w:t>
            </w:r>
          </w:p>
        </w:tc>
        <w:tc>
          <w:tcPr>
            <w:tcW w:w="61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3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Segment information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3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15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</w:t>
            </w:r>
          </w:p>
        </w:tc>
        <w:tc>
          <w:tcPr>
            <w:tcW w:w="61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3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Share based payments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3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16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</w:t>
            </w:r>
          </w:p>
        </w:tc>
        <w:tc>
          <w:tcPr>
            <w:tcW w:w="61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4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Income taxes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4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18</w:t>
              </w:r>
            </w:hyperlink>
          </w:p>
        </w:tc>
      </w:tr>
      <w:tr>
        <w:trPr/>
        <w:tc>
          <w:tcPr>
            <w:tcW w:w="652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4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Investing activities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4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19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</w:t>
            </w:r>
          </w:p>
        </w:tc>
        <w:tc>
          <w:tcPr>
            <w:tcW w:w="61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4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Significant transactions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4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19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</w:t>
            </w:r>
          </w:p>
        </w:tc>
        <w:tc>
          <w:tcPr>
            <w:tcW w:w="61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4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Property and equipment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4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26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</w:t>
            </w:r>
          </w:p>
        </w:tc>
        <w:tc>
          <w:tcPr>
            <w:tcW w:w="61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5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Intangible assets and Goodwill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5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27</w:t>
              </w:r>
            </w:hyperlink>
          </w:p>
        </w:tc>
      </w:tr>
      <w:tr>
        <w:trPr/>
        <w:tc>
          <w:tcPr>
            <w:tcW w:w="652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5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Financing activities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5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28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8</w:t>
            </w:r>
          </w:p>
        </w:tc>
        <w:tc>
          <w:tcPr>
            <w:tcW w:w="61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5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Investments, debt and derivatives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5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28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</w:t>
            </w:r>
          </w:p>
        </w:tc>
        <w:tc>
          <w:tcPr>
            <w:tcW w:w="61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6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Cash and cash equivalents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6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31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</w:t>
            </w:r>
          </w:p>
        </w:tc>
        <w:tc>
          <w:tcPr>
            <w:tcW w:w="61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6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Dividends and Capital Distributions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6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32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11</w:t>
            </w:r>
          </w:p>
        </w:tc>
        <w:tc>
          <w:tcPr>
            <w:tcW w:w="61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6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Issued Capital and Reserves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6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32</w:t>
              </w:r>
            </w:hyperlink>
          </w:p>
        </w:tc>
      </w:tr>
      <w:tr>
        <w:trPr/>
        <w:tc>
          <w:tcPr>
            <w:tcW w:w="652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7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Additional information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7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33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</w:t>
            </w:r>
          </w:p>
        </w:tc>
        <w:tc>
          <w:tcPr>
            <w:tcW w:w="61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7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Related parties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7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33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13</w:t>
            </w:r>
          </w:p>
        </w:tc>
        <w:tc>
          <w:tcPr>
            <w:tcW w:w="61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7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Risks, commitments, contingencies and uncertainties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7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34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14</w:t>
            </w:r>
          </w:p>
        </w:tc>
        <w:tc>
          <w:tcPr>
            <w:tcW w:w="61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8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color w:val="0000FF"/>
                  <w:sz w:val="20"/>
                  <w:u w:val="single"/>
                </w:rPr>
                <w:t>New standards, interpretations and amendments adopted by the group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93c99386c4434edbac929edca4af06af_8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FF"/>
                  <w:sz w:val="20"/>
                  <w:u w:val="single"/>
                  <w:effect w:val="none"/>
                </w:rPr>
                <w:t>35</w:t>
              </w:r>
            </w:hyperlink>
          </w:p>
        </w:tc>
      </w:tr>
    </w:tbl>
    <w:tbl>
      <w:tblPr>
        <w:tblW w:w="92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24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24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2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INTERIM CONDENSED CONSOLIDATED</w:t>
      </w:r>
      <w:r>
        <w:rPr>
          <w:caps w:val="false"/>
          <w:smallCaps w:val="false"/>
          <w:strike w:val="false"/>
          <w:dstrike w:val="false"/>
          <w:color w:val="FAAC16"/>
          <w:u w:val="none"/>
          <w:effect w:val="none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INCOME STATEMENT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for the six and three-month periods ended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June 30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:</w:t>
      </w:r>
    </w:p>
    <w:tbl>
      <w:tblPr>
        <w:tblW w:w="941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321"/>
        <w:gridCol w:w="109"/>
        <w:gridCol w:w="481"/>
        <w:gridCol w:w="109"/>
        <w:gridCol w:w="1006"/>
        <w:gridCol w:w="109"/>
        <w:gridCol w:w="1006"/>
        <w:gridCol w:w="109"/>
        <w:gridCol w:w="1006"/>
        <w:gridCol w:w="109"/>
        <w:gridCol w:w="1051"/>
      </w:tblGrid>
      <w:tr>
        <w:trPr/>
        <w:tc>
          <w:tcPr>
            <w:tcW w:w="4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21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Six-month period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6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Three-month period</w:t>
            </w:r>
          </w:p>
        </w:tc>
      </w:tr>
      <w:tr>
        <w:trPr/>
        <w:tc>
          <w:tcPr>
            <w:tcW w:w="432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959595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959595"/>
                <w:sz w:val="14"/>
                <w:u w:val="none"/>
                <w:effect w:val="none"/>
              </w:rPr>
              <w:t>(In millions of U.S. dollars except nominal value and per share data)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Note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4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Revenue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662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539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339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284</w:t>
            </w:r>
          </w:p>
        </w:tc>
      </w:tr>
      <w:tr>
        <w:trPr/>
        <w:tc>
          <w:tcPr>
            <w:tcW w:w="4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Cost of services, equipment and accessories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(71)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(51)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(38)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(27)</w:t>
            </w:r>
          </w:p>
        </w:tc>
      </w:tr>
      <w:tr>
        <w:trPr/>
        <w:tc>
          <w:tcPr>
            <w:tcW w:w="4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Selling, general and administrative expenses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(231)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(183)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(113)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(92)</w:t>
            </w:r>
          </w:p>
        </w:tc>
      </w:tr>
      <w:tr>
        <w:trPr/>
        <w:tc>
          <w:tcPr>
            <w:tcW w:w="4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Depreciation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(78)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(66)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(35)</w:t>
            </w:r>
          </w:p>
        </w:tc>
      </w:tr>
      <w:tr>
        <w:trPr/>
        <w:tc>
          <w:tcPr>
            <w:tcW w:w="4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Amortization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(29)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(24)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(16)</w:t>
            </w:r>
          </w:p>
        </w:tc>
      </w:tr>
      <w:tr>
        <w:trPr/>
        <w:tc>
          <w:tcPr>
            <w:tcW w:w="4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Impairment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(2)</w:t>
            </w:r>
          </w:p>
        </w:tc>
      </w:tr>
      <w:tr>
        <w:trPr/>
        <w:tc>
          <w:tcPr>
            <w:tcW w:w="4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Gain / (loss) on disposal of non-current assets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(1)</w:t>
            </w:r>
          </w:p>
        </w:tc>
      </w:tr>
      <w:tr>
        <w:trPr/>
        <w:tc>
          <w:tcPr>
            <w:tcW w:w="4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operating income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</w:tr>
      <w:tr>
        <w:trPr/>
        <w:tc>
          <w:tcPr>
            <w:tcW w:w="4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Operating profit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240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112</w:t>
            </w:r>
          </w:p>
        </w:tc>
      </w:tr>
      <w:tr>
        <w:trPr/>
        <w:tc>
          <w:tcPr>
            <w:tcW w:w="4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Finance costs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(39)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(19)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(18)</w:t>
            </w:r>
          </w:p>
        </w:tc>
      </w:tr>
      <w:tr>
        <w:trPr/>
        <w:tc>
          <w:tcPr>
            <w:tcW w:w="4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Finance income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</w:t>
            </w:r>
          </w:p>
        </w:tc>
      </w:tr>
      <w:tr>
        <w:trPr/>
        <w:tc>
          <w:tcPr>
            <w:tcW w:w="4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non-operating loss, net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(21)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(3)</w:t>
            </w:r>
          </w:p>
        </w:tc>
      </w:tr>
      <w:tr>
        <w:trPr/>
        <w:tc>
          <w:tcPr>
            <w:tcW w:w="4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Foreign exchange gain / (loss), net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(13)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</w:t>
            </w:r>
          </w:p>
        </w:tc>
      </w:tr>
      <w:tr>
        <w:trPr/>
        <w:tc>
          <w:tcPr>
            <w:tcW w:w="4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Profit before tax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103</w:t>
            </w:r>
          </w:p>
        </w:tc>
      </w:tr>
      <w:tr>
        <w:trPr/>
        <w:tc>
          <w:tcPr>
            <w:tcW w:w="4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Income tax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(39)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(35)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(21)</w:t>
            </w:r>
          </w:p>
        </w:tc>
      </w:tr>
      <w:tr>
        <w:trPr/>
        <w:tc>
          <w:tcPr>
            <w:tcW w:w="4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Profit for the period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82</w:t>
            </w:r>
          </w:p>
        </w:tc>
      </w:tr>
      <w:tr>
        <w:trPr/>
        <w:tc>
          <w:tcPr>
            <w:tcW w:w="4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Basic and diluted earnings per share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doub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$0.70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doub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$0.61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doub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$0.33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bottom w:val="doub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$0.40</w:t>
            </w:r>
          </w:p>
        </w:tc>
      </w:tr>
      <w:tr>
        <w:trPr/>
        <w:tc>
          <w:tcPr>
            <w:tcW w:w="4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Weighted average shares outstanding: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Basic and Diluted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230,879,204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206,942,440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230,883,624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206,942,440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/>
          <w:sz w:val="18"/>
          <w:u w:val="single"/>
        </w:rPr>
      </w:pPr>
      <w:r>
        <w:rPr>
          <w:rFonts w:ascii="Arial;sans-serif" w:hAnsi="Arial;sans-serif"/>
          <w:b w:val="false"/>
          <w:i/>
          <w:sz w:val="18"/>
          <w:u w:val="single"/>
        </w:rPr>
        <w:t>The accompanying notes are an integral part of these interim condensed consolidated financial statements.</w:t>
      </w:r>
    </w:p>
    <w:tbl>
      <w:tblPr>
        <w:tblW w:w="92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24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24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3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INTERIM CONDENSED CONSOLIDATED STATEMENT OF COMPREHENSIVE INCOME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for the six and three-month periods ended June 30:</w:t>
      </w:r>
    </w:p>
    <w:tbl>
      <w:tblPr>
        <w:tblW w:w="904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011"/>
        <w:gridCol w:w="109"/>
        <w:gridCol w:w="481"/>
        <w:gridCol w:w="109"/>
        <w:gridCol w:w="665"/>
        <w:gridCol w:w="155"/>
        <w:gridCol w:w="665"/>
        <w:gridCol w:w="109"/>
        <w:gridCol w:w="745"/>
        <w:gridCol w:w="174"/>
        <w:gridCol w:w="820"/>
      </w:tblGrid>
      <w:tr>
        <w:trPr/>
        <w:tc>
          <w:tcPr>
            <w:tcW w:w="50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Note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Six-month period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3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Three-month period</w:t>
            </w:r>
          </w:p>
        </w:tc>
      </w:tr>
      <w:tr>
        <w:trPr/>
        <w:tc>
          <w:tcPr>
            <w:tcW w:w="50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959595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959595"/>
                <w:sz w:val="16"/>
                <w:u w:val="none"/>
                <w:effect w:val="none"/>
              </w:rPr>
              <w:t>(In millions of U.S. dollars except nominal value and per share data)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5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5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5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5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74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50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Profit for the period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162</w:t>
            </w:r>
          </w:p>
        </w:tc>
        <w:tc>
          <w:tcPr>
            <w:tcW w:w="15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77</w:t>
            </w:r>
          </w:p>
        </w:tc>
        <w:tc>
          <w:tcPr>
            <w:tcW w:w="17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82</w:t>
            </w:r>
          </w:p>
        </w:tc>
      </w:tr>
      <w:tr>
        <w:trPr/>
        <w:tc>
          <w:tcPr>
            <w:tcW w:w="50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Items that may be reclassified to profit or loss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Foreign currency translation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(77)</w:t>
            </w:r>
          </w:p>
        </w:tc>
        <w:tc>
          <w:tcPr>
            <w:tcW w:w="15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(33)</w:t>
            </w:r>
          </w:p>
        </w:tc>
        <w:tc>
          <w:tcPr>
            <w:tcW w:w="17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(4)</w:t>
            </w:r>
          </w:p>
        </w:tc>
      </w:tr>
      <w:tr>
        <w:trPr/>
        <w:tc>
          <w:tcPr>
            <w:tcW w:w="50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Fair value re-measurement of financial instruments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7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50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comprehensive (loss) / income, net of tax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5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(77)</w:t>
            </w:r>
          </w:p>
        </w:tc>
        <w:tc>
          <w:tcPr>
            <w:tcW w:w="15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5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5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(33)</w:t>
            </w:r>
          </w:p>
        </w:tc>
        <w:tc>
          <w:tcPr>
            <w:tcW w:w="17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(4)</w:t>
            </w:r>
          </w:p>
        </w:tc>
      </w:tr>
      <w:tr>
        <w:trPr/>
        <w:tc>
          <w:tcPr>
            <w:tcW w:w="50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 comprehensive income, net of tax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85</w:t>
            </w:r>
          </w:p>
        </w:tc>
        <w:tc>
          <w:tcPr>
            <w:tcW w:w="15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139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44</w:t>
            </w:r>
          </w:p>
        </w:tc>
        <w:tc>
          <w:tcPr>
            <w:tcW w:w="17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78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/>
          <w:sz w:val="18"/>
          <w:u w:val="single"/>
        </w:rPr>
      </w:pPr>
      <w:r>
        <w:rPr>
          <w:rFonts w:ascii="Arial;sans-serif" w:hAnsi="Arial;sans-serif"/>
          <w:b w:val="false"/>
          <w:i/>
          <w:sz w:val="18"/>
          <w:u w:val="single"/>
        </w:rPr>
        <w:t>The accompanying notes are an integral part of these interim condensed consolidated financial statements.</w:t>
      </w:r>
    </w:p>
    <w:tbl>
      <w:tblPr>
        <w:tblW w:w="92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24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24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4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INTERIM CONDENSED CONSOLIDATED STATEMENT OF FINANCIAL POSITION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as of:</w:t>
      </w:r>
    </w:p>
    <w:tbl>
      <w:tblPr>
        <w:tblW w:w="762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011"/>
        <w:gridCol w:w="109"/>
        <w:gridCol w:w="481"/>
        <w:gridCol w:w="109"/>
        <w:gridCol w:w="811"/>
        <w:gridCol w:w="109"/>
        <w:gridCol w:w="991"/>
      </w:tblGrid>
      <w:tr>
        <w:trPr/>
        <w:tc>
          <w:tcPr>
            <w:tcW w:w="50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959595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959595"/>
                <w:sz w:val="16"/>
                <w:u w:val="none"/>
                <w:effect w:val="none"/>
              </w:rPr>
              <w:t>(In millions of U.S. dollars except nominal value and per share data)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Note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June 30,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December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31, 2025</w:t>
            </w:r>
          </w:p>
        </w:tc>
      </w:tr>
      <w:tr>
        <w:trPr/>
        <w:tc>
          <w:tcPr>
            <w:tcW w:w="50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Assets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Non-current assets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Property and equipment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949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849</w:t>
            </w:r>
          </w:p>
        </w:tc>
      </w:tr>
      <w:tr>
        <w:trPr/>
        <w:tc>
          <w:tcPr>
            <w:tcW w:w="50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Intangible assets, excluding goodwill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439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363</w:t>
            </w:r>
          </w:p>
        </w:tc>
      </w:tr>
      <w:tr>
        <w:trPr/>
        <w:tc>
          <w:tcPr>
            <w:tcW w:w="50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Goodwill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221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128</w:t>
            </w:r>
          </w:p>
        </w:tc>
      </w:tr>
      <w:tr>
        <w:trPr/>
        <w:tc>
          <w:tcPr>
            <w:tcW w:w="50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Deferred tax assets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50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Investments and derivatives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</w:tr>
      <w:tr>
        <w:trPr/>
        <w:tc>
          <w:tcPr>
            <w:tcW w:w="50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assets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88</w:t>
            </w:r>
          </w:p>
        </w:tc>
      </w:tr>
      <w:tr>
        <w:trPr/>
        <w:tc>
          <w:tcPr>
            <w:tcW w:w="50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 non-current assets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1,666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1,430</w:t>
            </w:r>
          </w:p>
        </w:tc>
      </w:tr>
      <w:tr>
        <w:trPr/>
        <w:tc>
          <w:tcPr>
            <w:tcW w:w="50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Current assets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Inventories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</w:t>
            </w:r>
          </w:p>
        </w:tc>
      </w:tr>
      <w:tr>
        <w:trPr/>
        <w:tc>
          <w:tcPr>
            <w:tcW w:w="50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Trade and other receivables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37</w:t>
            </w:r>
          </w:p>
        </w:tc>
      </w:tr>
      <w:tr>
        <w:trPr/>
        <w:tc>
          <w:tcPr>
            <w:tcW w:w="50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Receivables from related parties 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8, 12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49</w:t>
            </w:r>
          </w:p>
        </w:tc>
      </w:tr>
      <w:tr>
        <w:trPr/>
        <w:tc>
          <w:tcPr>
            <w:tcW w:w="50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Investments and derivatives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131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119</w:t>
            </w:r>
          </w:p>
        </w:tc>
      </w:tr>
      <w:tr>
        <w:trPr/>
        <w:tc>
          <w:tcPr>
            <w:tcW w:w="50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Current income tax assets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</w:t>
            </w:r>
          </w:p>
        </w:tc>
      </w:tr>
      <w:tr>
        <w:trPr/>
        <w:tc>
          <w:tcPr>
            <w:tcW w:w="50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assets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24</w:t>
            </w:r>
          </w:p>
        </w:tc>
      </w:tr>
      <w:tr>
        <w:trPr/>
        <w:tc>
          <w:tcPr>
            <w:tcW w:w="50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Cash and cash equivalents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364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455</w:t>
            </w:r>
          </w:p>
        </w:tc>
      </w:tr>
      <w:tr>
        <w:trPr/>
        <w:tc>
          <w:tcPr>
            <w:tcW w:w="50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 current assets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597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692</w:t>
            </w:r>
          </w:p>
        </w:tc>
      </w:tr>
      <w:tr>
        <w:trPr/>
        <w:tc>
          <w:tcPr>
            <w:tcW w:w="50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 assets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2,263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2,122</w:t>
            </w:r>
          </w:p>
        </w:tc>
      </w:tr>
      <w:tr>
        <w:trPr/>
        <w:tc>
          <w:tcPr>
            <w:tcW w:w="50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Equity and liabilities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Equity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Equity attributable to equity owners of the parent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1,385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1,299</w:t>
            </w:r>
          </w:p>
        </w:tc>
      </w:tr>
      <w:tr>
        <w:trPr/>
        <w:tc>
          <w:tcPr>
            <w:tcW w:w="50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 equity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1,385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1,299</w:t>
            </w:r>
          </w:p>
        </w:tc>
      </w:tr>
      <w:tr>
        <w:trPr/>
        <w:tc>
          <w:tcPr>
            <w:tcW w:w="50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Non-current liabilities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Debt and derivatives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355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287</w:t>
            </w:r>
          </w:p>
        </w:tc>
      </w:tr>
      <w:tr>
        <w:trPr/>
        <w:tc>
          <w:tcPr>
            <w:tcW w:w="50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Provisions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</w:t>
            </w:r>
          </w:p>
        </w:tc>
      </w:tr>
      <w:tr>
        <w:trPr/>
        <w:tc>
          <w:tcPr>
            <w:tcW w:w="50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Deferred tax liabilities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21</w:t>
            </w:r>
          </w:p>
        </w:tc>
      </w:tr>
      <w:tr>
        <w:trPr/>
        <w:tc>
          <w:tcPr>
            <w:tcW w:w="50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liabilities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</w:t>
            </w:r>
          </w:p>
        </w:tc>
      </w:tr>
      <w:tr>
        <w:trPr/>
        <w:tc>
          <w:tcPr>
            <w:tcW w:w="50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 non-current liabilities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403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325</w:t>
            </w:r>
          </w:p>
        </w:tc>
      </w:tr>
      <w:tr>
        <w:trPr/>
        <w:tc>
          <w:tcPr>
            <w:tcW w:w="50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Current liabilities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Trade and other payables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149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141</w:t>
            </w:r>
          </w:p>
        </w:tc>
      </w:tr>
      <w:tr>
        <w:trPr/>
        <w:tc>
          <w:tcPr>
            <w:tcW w:w="50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Debt and derivatives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8, 12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189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229</w:t>
            </w:r>
          </w:p>
        </w:tc>
      </w:tr>
      <w:tr>
        <w:trPr/>
        <w:tc>
          <w:tcPr>
            <w:tcW w:w="50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Provisions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</w:t>
            </w:r>
          </w:p>
        </w:tc>
      </w:tr>
      <w:tr>
        <w:trPr/>
        <w:tc>
          <w:tcPr>
            <w:tcW w:w="50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Current income tax payables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19</w:t>
            </w:r>
          </w:p>
        </w:tc>
      </w:tr>
      <w:tr>
        <w:trPr/>
        <w:tc>
          <w:tcPr>
            <w:tcW w:w="50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liabilities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99</w:t>
            </w:r>
          </w:p>
        </w:tc>
      </w:tr>
      <w:tr>
        <w:trPr/>
        <w:tc>
          <w:tcPr>
            <w:tcW w:w="50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 current liabilities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475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498</w:t>
            </w:r>
          </w:p>
        </w:tc>
      </w:tr>
      <w:tr>
        <w:trPr/>
        <w:tc>
          <w:tcPr>
            <w:tcW w:w="50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 equity and liabilities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bottom w:val="doub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2,263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>
              <w:bottom w:val="doub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2,122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/>
          <w:sz w:val="18"/>
          <w:u w:val="single"/>
        </w:rPr>
      </w:pPr>
      <w:r>
        <w:rPr>
          <w:rFonts w:ascii="Arial;sans-serif" w:hAnsi="Arial;sans-serif"/>
          <w:b w:val="false"/>
          <w:i/>
          <w:sz w:val="18"/>
          <w:u w:val="single"/>
        </w:rPr>
        <w:t>The accompanying notes are an integral part of these interim condensed consolidated financial statements.</w:t>
      </w:r>
    </w:p>
    <w:tbl>
      <w:tblPr>
        <w:tblW w:w="92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24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24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5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INTERIM CONDENSED CONSOLIDATED STATEMENT OF CHANGES IN EQUITY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for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six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-month period ended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June 30,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04"/>
        <w:gridCol w:w="109"/>
        <w:gridCol w:w="451"/>
        <w:gridCol w:w="109"/>
        <w:gridCol w:w="1006"/>
        <w:gridCol w:w="109"/>
        <w:gridCol w:w="921"/>
        <w:gridCol w:w="109"/>
        <w:gridCol w:w="601"/>
        <w:gridCol w:w="109"/>
        <w:gridCol w:w="661"/>
        <w:gridCol w:w="109"/>
        <w:gridCol w:w="766"/>
        <w:gridCol w:w="109"/>
        <w:gridCol w:w="771"/>
        <w:gridCol w:w="109"/>
        <w:gridCol w:w="856"/>
        <w:gridCol w:w="109"/>
        <w:gridCol w:w="587"/>
      </w:tblGrid>
      <w:tr>
        <w:trPr/>
        <w:tc>
          <w:tcPr>
            <w:tcW w:w="26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04" w:type="dxa"/>
            <w:tcBorders/>
            <w:shd w:fill="BFE4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BFE4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BFE4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BFE4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32" w:type="dxa"/>
            <w:gridSpan w:val="15"/>
            <w:tcBorders>
              <w:top w:val="single" w:sz="8" w:space="0" w:color="000000"/>
              <w:bottom w:val="single" w:sz="8" w:space="0" w:color="000000"/>
            </w:tcBorders>
            <w:shd w:fill="BFE4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Attributable to equity owners of the parent</w:t>
            </w:r>
          </w:p>
        </w:tc>
      </w:tr>
      <w:tr>
        <w:trPr/>
        <w:tc>
          <w:tcPr>
            <w:tcW w:w="2604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959595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959595"/>
                <w:sz w:val="16"/>
                <w:u w:val="none"/>
                <w:effect w:val="none"/>
              </w:rPr>
              <w:t xml:space="preserve">(In millions of U.S. dollars except nominal value and per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959595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959595"/>
                <w:sz w:val="16"/>
                <w:u w:val="none"/>
                <w:effect w:val="none"/>
              </w:rPr>
              <w:t>share data)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Note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Number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shares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outstanding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Net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investment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attributable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to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owners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the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parent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Issued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capital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Capital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Surplus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Other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capital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reserves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Retained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earnings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Foreign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currency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translation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equity</w:t>
            </w:r>
          </w:p>
        </w:tc>
      </w:tr>
      <w:tr>
        <w:trPr/>
        <w:tc>
          <w:tcPr>
            <w:tcW w:w="260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As of January 1, 2026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230,863,624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2,400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965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(2,092)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1,299</w:t>
            </w:r>
          </w:p>
        </w:tc>
      </w:tr>
      <w:tr>
        <w:trPr/>
        <w:tc>
          <w:tcPr>
            <w:tcW w:w="260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Profit for the period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162</w:t>
            </w:r>
          </w:p>
        </w:tc>
      </w:tr>
      <w:tr>
        <w:trPr/>
        <w:tc>
          <w:tcPr>
            <w:tcW w:w="260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comprehensive loss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(77)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(77)</w:t>
            </w:r>
          </w:p>
        </w:tc>
      </w:tr>
      <w:tr>
        <w:trPr/>
        <w:tc>
          <w:tcPr>
            <w:tcW w:w="260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 comprehensive income / (loss)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(77)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85</w:t>
            </w:r>
          </w:p>
        </w:tc>
      </w:tr>
      <w:tr>
        <w:trPr/>
        <w:tc>
          <w:tcPr>
            <w:tcW w:w="260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Share-based payments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20,000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</w:tr>
      <w:tr>
        <w:trPr/>
        <w:tc>
          <w:tcPr>
            <w:tcW w:w="260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As of June 30, 2026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230,883,624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2,400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25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1,127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(2,169)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1,385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for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six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-month period ended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June 30, 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02"/>
        <w:gridCol w:w="109"/>
        <w:gridCol w:w="451"/>
        <w:gridCol w:w="109"/>
        <w:gridCol w:w="1006"/>
        <w:gridCol w:w="109"/>
        <w:gridCol w:w="920"/>
        <w:gridCol w:w="109"/>
        <w:gridCol w:w="620"/>
        <w:gridCol w:w="109"/>
        <w:gridCol w:w="646"/>
        <w:gridCol w:w="109"/>
        <w:gridCol w:w="766"/>
        <w:gridCol w:w="109"/>
        <w:gridCol w:w="770"/>
        <w:gridCol w:w="109"/>
        <w:gridCol w:w="856"/>
        <w:gridCol w:w="109"/>
        <w:gridCol w:w="587"/>
      </w:tblGrid>
      <w:tr>
        <w:trPr/>
        <w:tc>
          <w:tcPr>
            <w:tcW w:w="26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34" w:type="dxa"/>
            <w:gridSpan w:val="15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Attributable to equity owners of the parent</w:t>
            </w:r>
          </w:p>
        </w:tc>
      </w:tr>
      <w:tr>
        <w:trPr/>
        <w:tc>
          <w:tcPr>
            <w:tcW w:w="260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959595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959595"/>
                <w:sz w:val="14"/>
                <w:u w:val="none"/>
                <w:effect w:val="none"/>
              </w:rPr>
              <w:t>(In millions of U.S. dollars except nominal value and per share data)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Note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Number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shares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outstanding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Net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investment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attributable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to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owners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the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parent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Issued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capital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Capital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surplus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Other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capital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reserves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0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Retained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earnings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Foreign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currency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translation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equity</w:t>
            </w:r>
          </w:p>
        </w:tc>
      </w:tr>
      <w:tr>
        <w:trPr/>
        <w:tc>
          <w:tcPr>
            <w:tcW w:w="26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As of January 1, 2025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3,160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0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(2,080)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1,080</w:t>
            </w:r>
          </w:p>
        </w:tc>
      </w:tr>
      <w:tr>
        <w:trPr/>
        <w:tc>
          <w:tcPr>
            <w:tcW w:w="260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Retroactive effect of Capital Reorganization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206,942,440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(3,160)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2,143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0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1,011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6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As of January 1, 2025, recasted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206,942,440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2,143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0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1,011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(2,080)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1,080</w:t>
            </w:r>
          </w:p>
        </w:tc>
      </w:tr>
      <w:tr>
        <w:trPr/>
        <w:tc>
          <w:tcPr>
            <w:tcW w:w="260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Profit for the period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126</w:t>
            </w:r>
          </w:p>
        </w:tc>
      </w:tr>
      <w:tr>
        <w:trPr/>
        <w:tc>
          <w:tcPr>
            <w:tcW w:w="26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comprehensive income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0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13</w:t>
            </w:r>
          </w:p>
        </w:tc>
      </w:tr>
      <w:tr>
        <w:trPr/>
        <w:tc>
          <w:tcPr>
            <w:tcW w:w="260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 comprehensive income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0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139</w:t>
            </w:r>
          </w:p>
        </w:tc>
      </w:tr>
      <w:tr>
        <w:trPr/>
        <w:tc>
          <w:tcPr>
            <w:tcW w:w="260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0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</w:tr>
      <w:tr>
        <w:trPr/>
        <w:tc>
          <w:tcPr>
            <w:tcW w:w="260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As of June 30, 2025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206,942,440</w:t>
            </w:r>
          </w:p>
        </w:tc>
        <w:tc>
          <w:tcPr>
            <w:tcW w:w="109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0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2,143</w:t>
            </w:r>
          </w:p>
        </w:tc>
        <w:tc>
          <w:tcPr>
            <w:tcW w:w="109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</w:t>
            </w:r>
          </w:p>
        </w:tc>
        <w:tc>
          <w:tcPr>
            <w:tcW w:w="109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0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1,137</w:t>
            </w:r>
          </w:p>
        </w:tc>
        <w:tc>
          <w:tcPr>
            <w:tcW w:w="109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(2,069)</w:t>
            </w:r>
          </w:p>
        </w:tc>
        <w:tc>
          <w:tcPr>
            <w:tcW w:w="109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1,221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The accompanying notes are an integral part of these interim condensed consolidated financial statements.</w:t>
      </w:r>
    </w:p>
    <w:tbl>
      <w:tblPr>
        <w:tblW w:w="92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24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24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6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for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three-month period ended June 30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20"/>
        <w:gridCol w:w="196"/>
        <w:gridCol w:w="451"/>
        <w:gridCol w:w="109"/>
        <w:gridCol w:w="1006"/>
        <w:gridCol w:w="109"/>
        <w:gridCol w:w="919"/>
        <w:gridCol w:w="109"/>
        <w:gridCol w:w="601"/>
        <w:gridCol w:w="109"/>
        <w:gridCol w:w="661"/>
        <w:gridCol w:w="109"/>
        <w:gridCol w:w="766"/>
        <w:gridCol w:w="109"/>
        <w:gridCol w:w="769"/>
        <w:gridCol w:w="109"/>
        <w:gridCol w:w="856"/>
        <w:gridCol w:w="109"/>
        <w:gridCol w:w="588"/>
      </w:tblGrid>
      <w:tr>
        <w:trPr/>
        <w:tc>
          <w:tcPr>
            <w:tcW w:w="25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2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29" w:type="dxa"/>
            <w:gridSpan w:val="15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Attributable to equity owners of the parent</w:t>
            </w:r>
          </w:p>
        </w:tc>
      </w:tr>
      <w:tr>
        <w:trPr/>
        <w:tc>
          <w:tcPr>
            <w:tcW w:w="252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959595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959595"/>
                <w:sz w:val="16"/>
                <w:u w:val="none"/>
                <w:effect w:val="none"/>
              </w:rPr>
              <w:t xml:space="preserve">(In millions of U.S. dollars except nominal value and per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959595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959595"/>
                <w:sz w:val="16"/>
                <w:u w:val="none"/>
                <w:effect w:val="none"/>
              </w:rPr>
              <w:t>share data)</w:t>
            </w:r>
          </w:p>
        </w:tc>
        <w:tc>
          <w:tcPr>
            <w:tcW w:w="1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Note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Number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shares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outstanding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Net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investment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attributable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to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owners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the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parent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Issued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capital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Capital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Surplus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Other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capital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reserves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Retained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earnings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Foreign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currency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translation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8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equity</w:t>
            </w:r>
          </w:p>
        </w:tc>
      </w:tr>
      <w:tr>
        <w:trPr/>
        <w:tc>
          <w:tcPr>
            <w:tcW w:w="2520" w:type="dxa"/>
            <w:tcBorders>
              <w:left w:val="single" w:sz="8" w:space="0" w:color="000000"/>
            </w:tcBorders>
            <w:shd w:fill="CCEEF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As of April 1, 2026</w:t>
            </w:r>
          </w:p>
        </w:tc>
        <w:tc>
          <w:tcPr>
            <w:tcW w:w="1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230,863,624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2,400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1,050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(2,136)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8" w:type="dxa"/>
            <w:tcBorders>
              <w:top w:val="single" w:sz="8" w:space="0" w:color="000000"/>
              <w:right w:val="single" w:sz="8" w:space="0" w:color="000000"/>
            </w:tcBorders>
            <w:shd w:fill="CCEEF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1,341</w:t>
            </w:r>
          </w:p>
        </w:tc>
      </w:tr>
      <w:tr>
        <w:trPr/>
        <w:tc>
          <w:tcPr>
            <w:tcW w:w="252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Profit for the period</w:t>
            </w:r>
          </w:p>
        </w:tc>
        <w:tc>
          <w:tcPr>
            <w:tcW w:w="1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</w:t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77</w:t>
            </w:r>
          </w:p>
        </w:tc>
      </w:tr>
      <w:tr>
        <w:trPr/>
        <w:tc>
          <w:tcPr>
            <w:tcW w:w="2520" w:type="dxa"/>
            <w:tcBorders>
              <w:left w:val="single" w:sz="8" w:space="0" w:color="000000"/>
            </w:tcBorders>
            <w:shd w:fill="CCEEF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comprehensive loss</w:t>
            </w:r>
          </w:p>
        </w:tc>
        <w:tc>
          <w:tcPr>
            <w:tcW w:w="1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(33)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8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(33)</w:t>
            </w:r>
          </w:p>
        </w:tc>
      </w:tr>
      <w:tr>
        <w:trPr/>
        <w:tc>
          <w:tcPr>
            <w:tcW w:w="252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 comprehensive income / (loss)</w:t>
            </w:r>
          </w:p>
        </w:tc>
        <w:tc>
          <w:tcPr>
            <w:tcW w:w="1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77</w:t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(33)</w:t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8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44</w:t>
            </w:r>
          </w:p>
        </w:tc>
      </w:tr>
      <w:tr>
        <w:trPr/>
        <w:tc>
          <w:tcPr>
            <w:tcW w:w="252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Share-based payments</w:t>
            </w:r>
          </w:p>
        </w:tc>
        <w:tc>
          <w:tcPr>
            <w:tcW w:w="1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20,000</w:t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8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52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As of June 30, 2026</w:t>
            </w:r>
          </w:p>
        </w:tc>
        <w:tc>
          <w:tcPr>
            <w:tcW w:w="1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230,883,624</w:t>
            </w:r>
          </w:p>
        </w:tc>
        <w:tc>
          <w:tcPr>
            <w:tcW w:w="109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2,400</w:t>
            </w:r>
          </w:p>
        </w:tc>
        <w:tc>
          <w:tcPr>
            <w:tcW w:w="109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25</w:t>
            </w:r>
          </w:p>
        </w:tc>
        <w:tc>
          <w:tcPr>
            <w:tcW w:w="109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9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1,127</w:t>
            </w:r>
          </w:p>
        </w:tc>
        <w:tc>
          <w:tcPr>
            <w:tcW w:w="109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(2,169)</w:t>
            </w:r>
          </w:p>
        </w:tc>
        <w:tc>
          <w:tcPr>
            <w:tcW w:w="109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8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1,385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for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three-month period ended June 30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0"/>
        </w:rPr>
        <w:t>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75"/>
        <w:gridCol w:w="109"/>
        <w:gridCol w:w="451"/>
        <w:gridCol w:w="109"/>
        <w:gridCol w:w="1006"/>
        <w:gridCol w:w="109"/>
        <w:gridCol w:w="917"/>
        <w:gridCol w:w="109"/>
        <w:gridCol w:w="601"/>
        <w:gridCol w:w="109"/>
        <w:gridCol w:w="661"/>
        <w:gridCol w:w="109"/>
        <w:gridCol w:w="766"/>
        <w:gridCol w:w="346"/>
        <w:gridCol w:w="767"/>
        <w:gridCol w:w="109"/>
        <w:gridCol w:w="856"/>
        <w:gridCol w:w="109"/>
        <w:gridCol w:w="587"/>
      </w:tblGrid>
      <w:tr>
        <w:trPr/>
        <w:tc>
          <w:tcPr>
            <w:tcW w:w="23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1" w:type="dxa"/>
            <w:gridSpan w:val="15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Attributable to equity owners of the parent</w:t>
            </w:r>
          </w:p>
        </w:tc>
      </w:tr>
      <w:tr>
        <w:trPr/>
        <w:tc>
          <w:tcPr>
            <w:tcW w:w="237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959595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959595"/>
                <w:sz w:val="16"/>
                <w:u w:val="none"/>
                <w:effect w:val="none"/>
              </w:rPr>
              <w:t xml:space="preserve">(In millions of U.S. dollars except nominal value and per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959595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959595"/>
                <w:sz w:val="16"/>
                <w:u w:val="none"/>
                <w:effect w:val="none"/>
              </w:rPr>
              <w:t>share data)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Note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Number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shares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outstanding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7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Net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investment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attributable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to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owners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the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parent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Issued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capital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Capital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Surplus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Other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capital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reserves</w:t>
            </w:r>
          </w:p>
        </w:tc>
        <w:tc>
          <w:tcPr>
            <w:tcW w:w="34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7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Retained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earnings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Foreign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currency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translation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equity</w:t>
            </w:r>
          </w:p>
        </w:tc>
      </w:tr>
      <w:tr>
        <w:trPr/>
        <w:tc>
          <w:tcPr>
            <w:tcW w:w="237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As of April 1, 2025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7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3,206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3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7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(2,065)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1,141</w:t>
            </w:r>
          </w:p>
        </w:tc>
      </w:tr>
      <w:tr>
        <w:trPr/>
        <w:tc>
          <w:tcPr>
            <w:tcW w:w="237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Retroactive effect of Capital Reorganization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206,942,440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7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(3,206)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2,143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</w:t>
            </w:r>
          </w:p>
        </w:tc>
        <w:tc>
          <w:tcPr>
            <w:tcW w:w="3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7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1,055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37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As of April 1, 2025, recasted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206,942,440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7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2,143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</w:t>
            </w:r>
          </w:p>
        </w:tc>
        <w:tc>
          <w:tcPr>
            <w:tcW w:w="3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7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1,055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(2,065)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1,141</w:t>
            </w:r>
          </w:p>
        </w:tc>
      </w:tr>
      <w:tr>
        <w:trPr/>
        <w:tc>
          <w:tcPr>
            <w:tcW w:w="237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Profit for the period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3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82</w:t>
            </w:r>
          </w:p>
        </w:tc>
      </w:tr>
      <w:tr>
        <w:trPr/>
        <w:tc>
          <w:tcPr>
            <w:tcW w:w="237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comprehensive loss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34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(4)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(4)</w:t>
            </w:r>
          </w:p>
        </w:tc>
      </w:tr>
      <w:tr>
        <w:trPr/>
        <w:tc>
          <w:tcPr>
            <w:tcW w:w="237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 comprehensive income / (loss)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7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34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7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82</w:t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(4)</w:t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78</w:t>
            </w:r>
          </w:p>
        </w:tc>
      </w:tr>
      <w:tr>
        <w:trPr/>
        <w:tc>
          <w:tcPr>
            <w:tcW w:w="237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7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  <w:tc>
          <w:tcPr>
            <w:tcW w:w="34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67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</w:tr>
      <w:tr>
        <w:trPr/>
        <w:tc>
          <w:tcPr>
            <w:tcW w:w="237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As of June 30, 2025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206,942,440</w:t>
            </w:r>
          </w:p>
        </w:tc>
        <w:tc>
          <w:tcPr>
            <w:tcW w:w="109" w:type="dxa"/>
            <w:tcBorders>
              <w:bottom w:val="doub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7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doub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>
              <w:bottom w:val="doub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2,143</w:t>
            </w:r>
          </w:p>
        </w:tc>
        <w:tc>
          <w:tcPr>
            <w:tcW w:w="109" w:type="dxa"/>
            <w:tcBorders>
              <w:bottom w:val="doub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</w:t>
            </w:r>
          </w:p>
        </w:tc>
        <w:tc>
          <w:tcPr>
            <w:tcW w:w="346" w:type="dxa"/>
            <w:tcBorders>
              <w:bottom w:val="doub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7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1,137</w:t>
            </w:r>
          </w:p>
        </w:tc>
        <w:tc>
          <w:tcPr>
            <w:tcW w:w="109" w:type="dxa"/>
            <w:tcBorders>
              <w:bottom w:val="doub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(2,069)</w:t>
            </w:r>
          </w:p>
        </w:tc>
        <w:tc>
          <w:tcPr>
            <w:tcW w:w="109" w:type="dxa"/>
            <w:tcBorders>
              <w:bottom w:val="doub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1,221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The accompanying notes are an integral part of these interim condensed consolidated financial statements.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7772400" cy="100584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" w:name="i-1"/>
      <w:bookmarkEnd w:id="2"/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9"/>
          <w:u w:val="single"/>
        </w:rPr>
        <w:t>*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4"/>
          <w:u w:val="single"/>
        </w:rPr>
        <w:t>Prior period comparatives have been reclassified to conform with the current period presentation</w:t>
      </w:r>
    </w:p>
    <w:tbl>
      <w:tblPr>
        <w:tblW w:w="92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24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24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7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INTERIM CONDENSED CONSOLIDATED STATEMENT OF CASH FLOWS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for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six-month period ended June 30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:</w:t>
      </w:r>
    </w:p>
    <w:tbl>
      <w:tblPr>
        <w:tblW w:w="734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116"/>
        <w:gridCol w:w="109"/>
        <w:gridCol w:w="481"/>
        <w:gridCol w:w="109"/>
        <w:gridCol w:w="654"/>
        <w:gridCol w:w="143"/>
        <w:gridCol w:w="733"/>
      </w:tblGrid>
      <w:tr>
        <w:trPr/>
        <w:tc>
          <w:tcPr>
            <w:tcW w:w="5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gridSpan w:val="3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Six-month period</w:t>
            </w:r>
          </w:p>
        </w:tc>
      </w:tr>
      <w:tr>
        <w:trPr/>
        <w:tc>
          <w:tcPr>
            <w:tcW w:w="51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959595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959595"/>
                <w:sz w:val="16"/>
                <w:u w:val="none"/>
                <w:effect w:val="none"/>
              </w:rPr>
              <w:t>(In millions of U.S. dollars)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Note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4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0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51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Operating activities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Profit before tax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201</w:t>
            </w:r>
          </w:p>
        </w:tc>
        <w:tc>
          <w:tcPr>
            <w:tcW w:w="1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161</w:t>
            </w:r>
          </w:p>
        </w:tc>
      </w:tr>
      <w:tr>
        <w:trPr/>
        <w:tc>
          <w:tcPr>
            <w:tcW w:w="51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Non-cash adjustments to reconcile profit before tax to net cash flows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Depreciation, amortization and impairment loss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126</w:t>
            </w:r>
          </w:p>
        </w:tc>
        <w:tc>
          <w:tcPr>
            <w:tcW w:w="1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99</w:t>
            </w:r>
          </w:p>
        </w:tc>
      </w:tr>
      <w:tr>
        <w:trPr/>
        <w:tc>
          <w:tcPr>
            <w:tcW w:w="51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(Gain) / loss on disposal of non-current assets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(5)</w:t>
            </w:r>
          </w:p>
        </w:tc>
        <w:tc>
          <w:tcPr>
            <w:tcW w:w="1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</w:tr>
      <w:tr>
        <w:trPr/>
        <w:tc>
          <w:tcPr>
            <w:tcW w:w="51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Finance costs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37</w:t>
            </w:r>
          </w:p>
        </w:tc>
        <w:tc>
          <w:tcPr>
            <w:tcW w:w="1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39</w:t>
            </w:r>
          </w:p>
        </w:tc>
      </w:tr>
      <w:tr>
        <w:trPr/>
        <w:tc>
          <w:tcPr>
            <w:tcW w:w="51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Finance income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(8)</w:t>
            </w:r>
          </w:p>
        </w:tc>
        <w:tc>
          <w:tcPr>
            <w:tcW w:w="1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(11)</w:t>
            </w:r>
          </w:p>
        </w:tc>
      </w:tr>
      <w:tr>
        <w:trPr/>
        <w:tc>
          <w:tcPr>
            <w:tcW w:w="51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non-operating loss, net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21</w:t>
            </w:r>
          </w:p>
        </w:tc>
        <w:tc>
          <w:tcPr>
            <w:tcW w:w="1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</w:t>
            </w:r>
          </w:p>
        </w:tc>
      </w:tr>
      <w:tr>
        <w:trPr/>
        <w:tc>
          <w:tcPr>
            <w:tcW w:w="51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Foreign exchange (gain) / loss, net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(11)</w:t>
            </w:r>
          </w:p>
        </w:tc>
        <w:tc>
          <w:tcPr>
            <w:tcW w:w="1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13</w:t>
            </w:r>
          </w:p>
        </w:tc>
      </w:tr>
      <w:tr>
        <w:trPr/>
        <w:tc>
          <w:tcPr>
            <w:tcW w:w="51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Changes in trade and other receivables and prepayments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</w:t>
            </w:r>
          </w:p>
        </w:tc>
        <w:tc>
          <w:tcPr>
            <w:tcW w:w="1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</w:tr>
      <w:tr>
        <w:trPr/>
        <w:tc>
          <w:tcPr>
            <w:tcW w:w="51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Changes in trade and other payables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14</w:t>
            </w:r>
          </w:p>
        </w:tc>
        <w:tc>
          <w:tcPr>
            <w:tcW w:w="1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</w:t>
            </w:r>
          </w:p>
        </w:tc>
      </w:tr>
      <w:tr>
        <w:trPr/>
        <w:tc>
          <w:tcPr>
            <w:tcW w:w="51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Changes in provisions, pensions and other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</w:t>
            </w:r>
          </w:p>
        </w:tc>
        <w:tc>
          <w:tcPr>
            <w:tcW w:w="1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</w:tr>
      <w:tr>
        <w:trPr/>
        <w:tc>
          <w:tcPr>
            <w:tcW w:w="51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Interest paid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(32)</w:t>
            </w:r>
          </w:p>
        </w:tc>
        <w:tc>
          <w:tcPr>
            <w:tcW w:w="1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(34)</w:t>
            </w:r>
          </w:p>
        </w:tc>
      </w:tr>
      <w:tr>
        <w:trPr/>
        <w:tc>
          <w:tcPr>
            <w:tcW w:w="51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Interest received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</w:t>
            </w:r>
          </w:p>
        </w:tc>
        <w:tc>
          <w:tcPr>
            <w:tcW w:w="1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</w:t>
            </w:r>
          </w:p>
        </w:tc>
      </w:tr>
      <w:tr>
        <w:trPr/>
        <w:tc>
          <w:tcPr>
            <w:tcW w:w="51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Income tax paid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(28)</w:t>
            </w:r>
          </w:p>
        </w:tc>
        <w:tc>
          <w:tcPr>
            <w:tcW w:w="1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(34)</w:t>
            </w:r>
          </w:p>
        </w:tc>
      </w:tr>
      <w:tr>
        <w:trPr/>
        <w:tc>
          <w:tcPr>
            <w:tcW w:w="51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Net cash flows from operating activities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331</w:t>
            </w:r>
          </w:p>
        </w:tc>
        <w:tc>
          <w:tcPr>
            <w:tcW w:w="1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265</w:t>
            </w:r>
          </w:p>
        </w:tc>
      </w:tr>
      <w:tr>
        <w:trPr/>
        <w:tc>
          <w:tcPr>
            <w:tcW w:w="51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Investing activities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Purchase of property, plant and equipment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(81)</w:t>
            </w:r>
          </w:p>
        </w:tc>
        <w:tc>
          <w:tcPr>
            <w:tcW w:w="1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(73)</w:t>
            </w:r>
          </w:p>
        </w:tc>
      </w:tr>
      <w:tr>
        <w:trPr/>
        <w:tc>
          <w:tcPr>
            <w:tcW w:w="51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Purchase of intangible assets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(39)</w:t>
            </w:r>
          </w:p>
        </w:tc>
        <w:tc>
          <w:tcPr>
            <w:tcW w:w="1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(29)</w:t>
            </w:r>
          </w:p>
        </w:tc>
      </w:tr>
      <w:tr>
        <w:trPr/>
        <w:tc>
          <w:tcPr>
            <w:tcW w:w="51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Receipts / (payments) for deposits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25</w:t>
            </w:r>
          </w:p>
        </w:tc>
        <w:tc>
          <w:tcPr>
            <w:tcW w:w="1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(23)</w:t>
            </w:r>
          </w:p>
        </w:tc>
      </w:tr>
      <w:tr>
        <w:trPr/>
        <w:tc>
          <w:tcPr>
            <w:tcW w:w="51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(Outflow) / inflow from loans granted, net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(11)</w:t>
            </w:r>
          </w:p>
        </w:tc>
        <w:tc>
          <w:tcPr>
            <w:tcW w:w="1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364</w:t>
            </w:r>
          </w:p>
        </w:tc>
      </w:tr>
      <w:tr>
        <w:trPr/>
        <w:tc>
          <w:tcPr>
            <w:tcW w:w="51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Proceeds from sale of property and equipment and intangible assets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  <w:tc>
          <w:tcPr>
            <w:tcW w:w="1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51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(Investment in) / receipts from financial assets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(43)</w:t>
            </w:r>
          </w:p>
        </w:tc>
        <w:tc>
          <w:tcPr>
            <w:tcW w:w="1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30</w:t>
            </w:r>
          </w:p>
        </w:tc>
      </w:tr>
      <w:tr>
        <w:trPr/>
        <w:tc>
          <w:tcPr>
            <w:tcW w:w="51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Acquisition of subsidiaries, net of cash acquired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(234)</w:t>
            </w:r>
          </w:p>
        </w:tc>
        <w:tc>
          <w:tcPr>
            <w:tcW w:w="1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(141)</w:t>
            </w:r>
          </w:p>
        </w:tc>
      </w:tr>
      <w:tr>
        <w:trPr/>
        <w:tc>
          <w:tcPr>
            <w:tcW w:w="51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Net cash flows (used in) / from investing activities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(382)</w:t>
            </w:r>
          </w:p>
        </w:tc>
        <w:tc>
          <w:tcPr>
            <w:tcW w:w="1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128</w:t>
            </w:r>
          </w:p>
        </w:tc>
      </w:tr>
      <w:tr>
        <w:trPr/>
        <w:tc>
          <w:tcPr>
            <w:tcW w:w="51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Financing activities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Repayment of debt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(11)</w:t>
            </w:r>
          </w:p>
        </w:tc>
        <w:tc>
          <w:tcPr>
            <w:tcW w:w="1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(585)</w:t>
            </w:r>
          </w:p>
        </w:tc>
      </w:tr>
      <w:tr>
        <w:trPr/>
        <w:tc>
          <w:tcPr>
            <w:tcW w:w="51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Payment of principal portion of lease liabilities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(21)</w:t>
            </w:r>
          </w:p>
        </w:tc>
        <w:tc>
          <w:tcPr>
            <w:tcW w:w="1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(18)</w:t>
            </w:r>
          </w:p>
        </w:tc>
      </w:tr>
      <w:tr>
        <w:trPr/>
        <w:tc>
          <w:tcPr>
            <w:tcW w:w="51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Proceeds from borrowings, net of fees paid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</w:t>
            </w:r>
          </w:p>
        </w:tc>
      </w:tr>
      <w:tr>
        <w:trPr/>
        <w:tc>
          <w:tcPr>
            <w:tcW w:w="51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Investment in shares of VEON Ltd.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(22)</w:t>
            </w:r>
          </w:p>
        </w:tc>
      </w:tr>
      <w:tr>
        <w:trPr/>
        <w:tc>
          <w:tcPr>
            <w:tcW w:w="51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Net cash flows used in financing activities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(32)</w:t>
            </w:r>
          </w:p>
        </w:tc>
        <w:tc>
          <w:tcPr>
            <w:tcW w:w="1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(618)</w:t>
            </w:r>
          </w:p>
        </w:tc>
      </w:tr>
      <w:tr>
        <w:trPr/>
        <w:tc>
          <w:tcPr>
            <w:tcW w:w="51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Net decrease in cash and cash equivalents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(83)</w:t>
            </w:r>
          </w:p>
        </w:tc>
        <w:tc>
          <w:tcPr>
            <w:tcW w:w="1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(225)</w:t>
            </w:r>
          </w:p>
        </w:tc>
      </w:tr>
      <w:tr>
        <w:trPr/>
        <w:tc>
          <w:tcPr>
            <w:tcW w:w="51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Net foreign exchange difference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(8)</w:t>
            </w:r>
          </w:p>
        </w:tc>
        <w:tc>
          <w:tcPr>
            <w:tcW w:w="1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</w:t>
            </w:r>
          </w:p>
        </w:tc>
      </w:tr>
      <w:tr>
        <w:trPr/>
        <w:tc>
          <w:tcPr>
            <w:tcW w:w="51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Cash and cash equivalents at beginning of period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455</w:t>
            </w:r>
          </w:p>
        </w:tc>
        <w:tc>
          <w:tcPr>
            <w:tcW w:w="1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674</w:t>
            </w:r>
          </w:p>
        </w:tc>
      </w:tr>
      <w:tr>
        <w:trPr/>
        <w:tc>
          <w:tcPr>
            <w:tcW w:w="51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Cash and cash equivalents at end of period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364</w:t>
            </w:r>
          </w:p>
        </w:tc>
        <w:tc>
          <w:tcPr>
            <w:tcW w:w="1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3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458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/>
          <w:sz w:val="18"/>
        </w:rPr>
      </w:pPr>
      <w:r>
        <w:rPr>
          <w:rFonts w:ascii="Arial;sans-serif" w:hAnsi="Arial;sans-serif"/>
          <w:b w:val="false"/>
          <w:i/>
          <w:sz w:val="18"/>
        </w:rPr>
        <w:t>The accompanying notes are an integral part of these interim condensed consolidated financial statements.</w:t>
      </w:r>
    </w:p>
    <w:tbl>
      <w:tblPr>
        <w:tblW w:w="92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24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24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8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/>
      </w:pPr>
      <w:hyperlink w:anchor="i93c99386c4434edbac929edca4af06af_4">
        <w:r>
          <w:rPr>
            <w:rStyle w:val="InternetLink"/>
            <w:rFonts w:ascii="Arial;sans-serif" w:hAnsi="Arial;sans-serif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Notes to the interim condensed consolidated financial statements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/>
          <w:sz w:val="20"/>
          <w:u w:val="single"/>
        </w:rPr>
      </w:pPr>
      <w:r>
        <w:rPr>
          <w:rFonts w:ascii="Arial;sans-serif" w:hAnsi="Arial;sans-serif"/>
          <w:b w:val="false"/>
          <w:i/>
          <w:sz w:val="20"/>
          <w:u w:val="single"/>
        </w:rPr>
        <w:t>(in millions of U.S. dollars unless otherwise stated)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GENERAL INFORMATION ABOUT THE COMPANY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1GENERAL INFORMATION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Kyivstar Group Ltd. (the "Company" and collectively with its subsidiaries referred to as "Kyivstar Group" or the "Group"), an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exempted company limited by shares, was incorporated under the laws of Bermuda with registration number 202504557,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Bermuda on March 7, 2025. The registered office of the Company is Victoria Place, 31 Victoria Street, Hamilton, HM10,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Bermuda. The principal place of business is located at Index Towers (East Tower), Unit 517, Level 5 Dubai (DIFC), United Arab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Emirates.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was formed for the purpose of becoming the ultimate parent company of Kyivstar Group. On August 14, 2025,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 consummated a Business Combination transaction with Cohen Circle Acquisition Corp. (“Cohen Circle”) and VEON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Amsterdam B.V., pursuant to which VEON Amsterdam B.V. contributed its shares in Kyivstar Holdings B.V. to the Company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exchange for the Company’s shares, and the shareholders of Cohen Circle contributed the net assets of Cohen Circle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exchange for the Company’s shares. As a result of these transactions, Kyivstar Holdings B.V. became a wholly owned subsidiary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 Company and the Company became the ultimate parent of Kyivstar Group. The transaction represented a capital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reorganization and establishment of a new holding company structure and did not result in changes to the underlying operations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 Group.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Company’s Common Shares and Warrants are listed on the Nasdaq Stock Market under the symbols "KYIV" and "KYIVW,"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respectively.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Kyivstar Group’s operations include the operations of the following entities (i) Kyivstar Group Ltd., (ii) Kyivstar Holdings B.V.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("Kyivstar Holdings") and (iii) JSC Kyivstar and its subsidiaries ("Kyivstar").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 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main operating company in Kyivstar Group is Kyivstar. Kyivstar was established and registered on September 3, 1997 under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laws of Ukraine. JSC Kyivstar’s registered legal address is at 53 Degtyarivska St. Kyiv 03113 Ukraine. JSC Kyivstar’s head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office is located at the registered legal address and the principal place of JSC Kyivstar's business is its registered legal address.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JSC Kyivstar has a main office in Kyiv, Ukraine.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Kyivstar provides mobile connectivity services on 2G, 3G and 4G/LTE networks, complemented by Starlink Direct to Cell satellite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connectivity services. The Company is also conducting pilot deployment of 5G technology. Kyivstar also offers voice and data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services on fixed networks, including mobile and fixed converged services in consumer and business segments. Its digital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portfolio includes Kyivstar TV, offered on IPTV platforms as well as mobile, big data and technology services through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Kyivstar.Tech, digital health services through Helsi and Tabletki, ride-hailing and delivery through Uklon, self-care application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MyKyivstar and consumer cloud offerings as well as B2B services. Kyivstar also owns and operates a portfolio of renewable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energy generation assets, including solar power plants, which support the Company’s energy strategy through electricity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generation and sales to Ukraine’s unified energy system.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BASIS OF PRESENTATION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These interim condensed consolidated financial statements have been prepared in accordance with International Accounting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Standards (“IAS”) 34 Interim Financial Reporting (“IAS 34”) as issued by the International Accounting Standards Board, effective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at the time of preparing the interim condensed consolidated financial statements.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unaudited interim condensed consolidated financial statements do not include all the information and disclosures required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annual consolidated financial statements and should be read in conjunction with the Group’s audited annual consolidated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financial statements as of and for the year ended December 31,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included in the Annual Report on the Form 20-F filed 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March 16, 2026.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accounting policies applied are consistent with those applied in the preparation of the annual financial statements for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year ended December 31, 2025, except for any new standards and interpretations adopted as of January 1, 2026.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These unaudited interim condensed consolidated financial statements have been prepared on a historical basis, except 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certain financial instruments and other items that are measured at fair value, as disclosed in the relevant accounting policies.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interim condensed consolidated income statement has been presented based on the nature of the expense, other than ‘Selling,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general and administrative expenses’, which has been presented based on the function of the expense. Additional information 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nature of expenses is provided where relevant in the notes to the interim condensed consolidated financial statements.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tbl>
      <w:tblPr>
        <w:tblW w:w="92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24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24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9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/>
      </w:pPr>
      <w:hyperlink w:anchor="i93c99386c4434edbac929edca4af06af_4">
        <w:r>
          <w:rPr>
            <w:rStyle w:val="InternetLink"/>
            <w:rFonts w:ascii="Arial;sans-serif" w:hAnsi="Arial;sans-serif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Notes to the interim condensed consolidated financial statements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/>
          <w:sz w:val="20"/>
          <w:u w:val="single"/>
        </w:rPr>
      </w:pPr>
      <w:r>
        <w:rPr>
          <w:rFonts w:ascii="Arial;sans-serif" w:hAnsi="Arial;sans-serif"/>
          <w:b w:val="false"/>
          <w:i/>
          <w:sz w:val="20"/>
          <w:u w:val="single"/>
        </w:rPr>
        <w:t>(in millions of U.S. dollars unless otherwise stated)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Certain amounts reported in the interim condensed consolidated income statement, statement of financial position and cash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flows have been reclassified in order to conform to the current period presentation.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interim condensed consolidated financial statements have been prepared on a going concern basis. Due to the ongoing war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between Russia and Ukraine, material uncertainties affecting the Group’s ability to continue as a going concern are discussed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detail at the end of this note.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comparative information for the period ended June 30,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does not represent the interim condensed consolidated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financial statements of the Company as a legal parent. Instead, it has been prepared on a combined (predecessor) basis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reflects the financial information for Kyivstar Holdings B.V. (formerly VEON Holdings B.V.) and its subsidiaries. Accordingly, such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information may not be fully comparable to the Group's interim condensed consolidated financial statements for the current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period and does not necessarily reflect the results of operations, financial position or cash flows that would have been presented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had the current group structure been in place.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functional currency of Kyivstar is Ukrainian Hryvnia ("UAH"), the currency of the primary economic environment in which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Kyivstar operates. The interim condensed consolidated financial statements are presented in United States dollars ("U.S. dollar"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or "US$"). In these Notes, U.S. dollar amounts are presented in millions, except for share amounts and as otherwise indicated.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FOREIGN CURRENCY TRANSLATION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the purpose of these interim condensed consolidated financial statements, the assets and liabilities measured in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functional currency are translated into U.S. dollars at exchange rates prevailing on the balance sheet date, whereas income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expenses are generally translated into U.S. dollars at historical monthly average exchange rates. Foreign currency translation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adjustments resulting from the process of translating financial statements into U.S. dollars are reported in other comprehensive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income and accumulated within a separate component of Equity.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BASIS OF CONSOLIDATION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interim condensed consolidated financial statements comprise the financial statements of the Company and its subsidiaries.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Subsidiaries are all entities (including structured entities) over which the Company has control. Interests held by Kyivstar Group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its principal subsidiaries as of June 30:</w:t>
      </w:r>
    </w:p>
    <w:tbl>
      <w:tblPr>
        <w:tblW w:w="93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33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10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/>
      </w:pPr>
      <w:hyperlink w:anchor="i93c99386c4434edbac929edca4af06af_4">
        <w:r>
          <w:rPr>
            <w:rStyle w:val="InternetLink"/>
            <w:rFonts w:ascii="Arial;sans-serif" w:hAnsi="Arial;sans-serif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Notes to the interim condensed consolidated financial statements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/>
          <w:sz w:val="20"/>
          <w:u w:val="single"/>
        </w:rPr>
      </w:pPr>
      <w:r>
        <w:rPr>
          <w:rFonts w:ascii="Arial;sans-serif" w:hAnsi="Arial;sans-serif"/>
          <w:b w:val="false"/>
          <w:i/>
          <w:sz w:val="20"/>
          <w:u w:val="single"/>
        </w:rPr>
        <w:t>(in millions of U.S. dollars unless otherwise stated)</w:t>
      </w:r>
    </w:p>
    <w:tbl>
      <w:tblPr>
        <w:tblW w:w="881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081"/>
        <w:gridCol w:w="751"/>
        <w:gridCol w:w="1591"/>
        <w:gridCol w:w="751"/>
        <w:gridCol w:w="1636"/>
      </w:tblGrid>
      <w:tr>
        <w:trPr/>
        <w:tc>
          <w:tcPr>
            <w:tcW w:w="4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42" w:type="dxa"/>
            <w:gridSpan w:val="2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2387" w:type="dxa"/>
            <w:gridSpan w:val="2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4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Name</w:t>
            </w:r>
          </w:p>
        </w:tc>
        <w:tc>
          <w:tcPr>
            <w:tcW w:w="75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Interest</w:t>
            </w:r>
          </w:p>
        </w:tc>
        <w:tc>
          <w:tcPr>
            <w:tcW w:w="159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Country of operation</w:t>
            </w:r>
          </w:p>
        </w:tc>
        <w:tc>
          <w:tcPr>
            <w:tcW w:w="75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Interest</w:t>
            </w:r>
          </w:p>
        </w:tc>
        <w:tc>
          <w:tcPr>
            <w:tcW w:w="163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Country of operation</w:t>
            </w:r>
          </w:p>
        </w:tc>
      </w:tr>
      <w:tr>
        <w:trPr/>
        <w:tc>
          <w:tcPr>
            <w:tcW w:w="4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JSC Kyivstar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99.995%</w:t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Ukraine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99.995%</w:t>
            </w:r>
          </w:p>
        </w:tc>
        <w:tc>
          <w:tcPr>
            <w:tcW w:w="16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Ukraine</w:t>
            </w:r>
          </w:p>
        </w:tc>
      </w:tr>
      <w:tr>
        <w:trPr/>
        <w:tc>
          <w:tcPr>
            <w:tcW w:w="4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LLC Kyivstar.Tech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100.00%</w:t>
            </w:r>
          </w:p>
        </w:tc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Ukraine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100.00%</w:t>
            </w:r>
          </w:p>
        </w:tc>
        <w:tc>
          <w:tcPr>
            <w:tcW w:w="16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Ukraine</w:t>
            </w:r>
          </w:p>
        </w:tc>
      </w:tr>
      <w:tr>
        <w:trPr/>
        <w:tc>
          <w:tcPr>
            <w:tcW w:w="4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LLC Helsi Ukraine *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97.99%</w:t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Ukraine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97.99%</w:t>
            </w:r>
          </w:p>
        </w:tc>
        <w:tc>
          <w:tcPr>
            <w:tcW w:w="16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Ukraine</w:t>
            </w:r>
          </w:p>
        </w:tc>
      </w:tr>
      <w:tr>
        <w:trPr/>
        <w:tc>
          <w:tcPr>
            <w:tcW w:w="4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LLC Lan Trace****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100.00%</w:t>
            </w:r>
          </w:p>
        </w:tc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Ukraine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100.00%</w:t>
            </w:r>
          </w:p>
        </w:tc>
        <w:tc>
          <w:tcPr>
            <w:tcW w:w="16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Ukraine</w:t>
            </w:r>
          </w:p>
        </w:tc>
      </w:tr>
      <w:tr>
        <w:trPr/>
        <w:tc>
          <w:tcPr>
            <w:tcW w:w="4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LLC Uklon Corporate *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97.00%</w:t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Ukraine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97.00%</w:t>
            </w:r>
          </w:p>
        </w:tc>
        <w:tc>
          <w:tcPr>
            <w:tcW w:w="16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Ukraine</w:t>
            </w:r>
          </w:p>
        </w:tc>
      </w:tr>
      <w:tr>
        <w:trPr/>
        <w:tc>
          <w:tcPr>
            <w:tcW w:w="4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LLC Uklon Tech *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97.00%</w:t>
            </w:r>
          </w:p>
        </w:tc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Ukraine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97.00%</w:t>
            </w:r>
          </w:p>
        </w:tc>
        <w:tc>
          <w:tcPr>
            <w:tcW w:w="16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Ukraine</w:t>
            </w:r>
          </w:p>
        </w:tc>
      </w:tr>
      <w:tr>
        <w:trPr/>
        <w:tc>
          <w:tcPr>
            <w:tcW w:w="4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LLC Uklon Ltd *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97.00%</w:t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Cyprus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97.00%</w:t>
            </w:r>
          </w:p>
        </w:tc>
        <w:tc>
          <w:tcPr>
            <w:tcW w:w="16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Cyprus</w:t>
            </w:r>
          </w:p>
        </w:tc>
      </w:tr>
      <w:tr>
        <w:trPr/>
        <w:tc>
          <w:tcPr>
            <w:tcW w:w="4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Uklon LLC (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100.00%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subsidiary of LLC Uklon Ltd)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100.00%</w:t>
            </w:r>
          </w:p>
        </w:tc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Uzbekistan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100.00%</w:t>
            </w:r>
          </w:p>
        </w:tc>
        <w:tc>
          <w:tcPr>
            <w:tcW w:w="16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Uzbekistan</w:t>
            </w:r>
          </w:p>
        </w:tc>
      </w:tr>
      <w:tr>
        <w:trPr/>
        <w:tc>
          <w:tcPr>
            <w:tcW w:w="4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Kyivstar Holdings B.V.***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100.00%</w:t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Netherlands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100.00%</w:t>
            </w:r>
          </w:p>
        </w:tc>
        <w:tc>
          <w:tcPr>
            <w:tcW w:w="16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Netherlands</w:t>
            </w:r>
          </w:p>
        </w:tc>
      </w:tr>
      <w:tr>
        <w:trPr/>
        <w:tc>
          <w:tcPr>
            <w:tcW w:w="4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Kyivstar Cayman Corp.**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100.00%</w:t>
            </w:r>
          </w:p>
        </w:tc>
        <w:tc>
          <w:tcPr>
            <w:tcW w:w="16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Cayman Islands</w:t>
            </w:r>
          </w:p>
        </w:tc>
      </w:tr>
      <w:tr>
        <w:trPr/>
        <w:tc>
          <w:tcPr>
            <w:tcW w:w="4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SUNVIN 11 LLC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100.00%</w:t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Ukraine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100.00%</w:t>
            </w:r>
          </w:p>
        </w:tc>
        <w:tc>
          <w:tcPr>
            <w:tcW w:w="16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Ukraine</w:t>
            </w:r>
          </w:p>
        </w:tc>
      </w:tr>
      <w:tr>
        <w:trPr/>
        <w:tc>
          <w:tcPr>
            <w:tcW w:w="4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LLC ISP Shtorm 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100.00%</w:t>
            </w:r>
          </w:p>
        </w:tc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Ukraine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4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LLC MTPK 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100.00%</w:t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Ukraine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4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LLC Farmel (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100.00%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subsidiary of LLC MTPK)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100.00%</w:t>
            </w:r>
          </w:p>
        </w:tc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Ukraine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4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LLC Farma Studio (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100.00%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subsidiary of LLC MTPK)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100.00%</w:t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Ukraine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4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LLC Energy Space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100.00%</w:t>
            </w:r>
          </w:p>
        </w:tc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Ukraine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4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LLC Ternovytsia Solar Plus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100.00%</w:t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Ukraine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4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LLC Energopostach-Plus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100.00%</w:t>
            </w:r>
          </w:p>
        </w:tc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Ukraine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4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LLC Lightfull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100.00%</w:t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Ukraine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4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LLC Sunlight  Generation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100.00%</w:t>
            </w:r>
          </w:p>
        </w:tc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Ukraine</w:t>
            </w:r>
          </w:p>
        </w:tc>
        <w:tc>
          <w:tcPr>
            <w:tcW w:w="7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4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LLC Ternovytsia Solar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100.00%</w:t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Ukraine</w:t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</w:tbl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</w:rPr>
        <w:t>*In each of these subsidiaries, a symmetrical put and call option agreement for the remaining ownership interest exists. As a result, on each</w:t>
      </w:r>
      <w:r>
        <w:rPr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</w:rPr>
        <w:t>respective acquisition date, the Company determined that it had a present ownership interest in the remaining ownership percentage and has</w:t>
      </w:r>
      <w:r>
        <w:rPr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</w:rPr>
        <w:t>consolidated these subsidiaries fully at 100%.</w:t>
      </w:r>
    </w:p>
    <w:p>
      <w:pPr>
        <w:pStyle w:val="TextBody"/>
        <w:bidi w:val="0"/>
        <w:spacing w:lineRule="atLeast" w:line="160" w:before="0" w:after="0"/>
        <w:jc w:val="both"/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</w:rPr>
        <w:t>**The entity was liquidated on January 28, 2026.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</w:rPr>
        <w:t>***Name of VEON Holdings B.V. has been changed to Kyivstar Holdings B.V., effective February 10, 2026.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</w:rPr>
        <w:t xml:space="preserve">****The merger of LLC “Lan Trace” into JSC Kyivstar was registered on July 3, 2026. As a result, LLC “Lan Trace” is in the process of liquidation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</w:rPr>
        <w:t>through merger.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February 10, 2026, JSC Kyivstar entered into a share purchase agreement to acquire 100%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 equity interests of LLC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MTPK and its subsidiaries, LLC Farmel and LLC Farma Studio (together, the “Tabletki Group”), a Ukrainian business providing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 online platform for searching and booking medicines and other pharmacy products. The transaction closed on February 10,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a purchase consideration of US$161.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February 26, 2026, the Group acquired 100%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 equity interests of ISP Shtorm LLC, a regional fixed broadband operator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providing internet services to residential and business customers in Ukraine for a purchase consideration of US$10.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May 26, 2026, the Group completed the acquisition of 100%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 equity interests of Energopostach-Plus LLC, Lightfull LLC,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Sunlight Generation LLC, Ternovytsia Solar LLC, Energy Space LLC and Ternovytsia Solar Plus LLC (together, the “six solar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power plants”), which own and operate six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solar power plants located in the Lviv region of Ukraine with a combined installed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generation capacity of 105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megawatts ("MW"), for a purchase consideration of US$70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million.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Refer to "major developments during six-month period ended June 30, 2026" for more details.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the interim condensed consolidated financial statements subsidiary undertakings – which are those companies in which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Group directly or indirectly, has an interest of more than half of the voting rights or otherwise has power to exercise control over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operations – have been fully consolidated.</w:t>
      </w:r>
    </w:p>
    <w:tbl>
      <w:tblPr>
        <w:tblW w:w="93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33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11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/>
      </w:pPr>
      <w:hyperlink w:anchor="i93c99386c4434edbac929edca4af06af_4">
        <w:r>
          <w:rPr>
            <w:rStyle w:val="InternetLink"/>
            <w:rFonts w:ascii="Arial;sans-serif" w:hAnsi="Arial;sans-serif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Notes to the interim condensed consolidated financial statements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/>
          <w:sz w:val="20"/>
          <w:u w:val="single"/>
        </w:rPr>
      </w:pPr>
      <w:r>
        <w:rPr>
          <w:rFonts w:ascii="Arial;sans-serif" w:hAnsi="Arial;sans-serif"/>
          <w:b w:val="false"/>
          <w:i/>
          <w:sz w:val="20"/>
          <w:u w:val="single"/>
        </w:rPr>
        <w:t>(in millions of U.S. dollars unless otherwise stated)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Intercompany transactions, balances and unrealized gains or losses on transactions between Kyivstar Group companies 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eliminated. When necessary, amounts reported by subsidiaries have been adjusted to conform with Kyivstar Group’s accounting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policies.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GOING CONCERN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of July 31, 2026, the war in Ukraine is ongoing, millions of people have fled Ukraine, and the country has sustained significant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damage to infrastructure and assets. Currently, we have 21.8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subscribers in Ukraine, where they are supported by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approximately 5,667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employees. Kyivstar Group’s priority is to protect the safety and well-being of our employees and their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families. We have developed and, in some cases, implemented additional contingency plans to relocate work and/or personnel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who are integral to the provision of essential communication services to other geographies and add new locations, 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appropriate. As of July 31, 2026, most of our Ukraine subsidiary’s employees remain in the country.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war has resulted in events and conditions that may cast significant doubt on the Company’s ability to continue as a going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concern: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may need to record future impairment charges in Ukraine, which could be material, if the war continues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or escalates and/or due to macroeconomic conditions.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of July 31, 2026, the Company continues to conclude that neither VEON Ltd. nor any of its subsidiaries is targeted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by sanctions imposed by any of the United States, European Union (and individual EU member states) and the United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Kingdom. However, the interpretation and enforcement of these sanctions and counter-sanctions may result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unanticipated outcomes and could give rise to material uncertainties, which could complicate our business decisions.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example, to protect U.S. foreign policy and national security interests, the U.S. government has broad discretion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at times impose a broad range of extraterritorial “secondary” sanctions under which non-U.S. persons carrying out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certain activities may be penalized or designated as sanctioned parties, even if the activities have no ties, contact with,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or nexus to the United States or the U.S. financial system at all. These secondary sanctions could be imposed on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 or any of the Company’s subsidiaries if they were to engage in activity that the U.S. government determined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undertaken knowingly and rose to the level of material or significant support to, for, or on behalf of certain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sanctioned parties.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Ukraine has also implemented and may implement further sanctions or measures on individuals or entities with close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ties to Russia, which may negatively impact Kyivstar, if VEON is considered by local Ukrainian authorities as being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 controlled by sanctioned persons. In October 2023, VEON received notification from local custodian that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following percentages of the corporate rights in our Ukrainian subsidiaries have been frozen: (i) 47.85%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Kyivstar, (ii)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100%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Ukraine Tower Company ("UTC"), a related party to the Company, (iii) 100%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Kyivstar.Tech, and (iv) 69.99%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Helsi Ukraine. On November 29, 2024, the Shevchenkivskyi District Court of Kyiv ruled in favor of a request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unfreeze 47.85%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VEON’s corporate rights in Kyivstar and 100%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VEON’s corporate rights in its other Ukrainian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subsidiaries. The decision fully removes the restrictions on VEON’s corporate rights imposed by Ukrainian courts on its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wholly owned Kyivstar and other Ukrainian subsidiaries. We are continuing to work with our local custodian to remove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any remaining restrictions in respect of corporate rights.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Management has taken actions to address the events and conditions that may cast significant doubt on the Company’s ability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continue as a going concern: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has implemented business continuity plans to address known contingency scenarios to ensure that we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have adequate processes and practices in place to protect the safety of our people and to handle potential impacts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operations in Ukraine.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actively engages with stakeholders, including suppliers, customers, and regulatory authorities,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proactively address potential disruptions. Diversification of supply chains and markets to reduce dependency on regions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affected by the war is implemented where possible. Management also continues to review and update risk management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policies to enhance resilience against the volatility stemming from the war.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continues to fund its operations for the next twelve months primarily through a combination of existing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liquidity and anticipated proceeds from its customers, including its wholesale business outside Ukraine. As of June 30,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2026, the Company holds US$364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cash and cash equivalents and US$91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other liquid financial assets, providing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total available funding of approximately US$455, which significantly exceeds the Company’s projected operating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expenditures for the next twelve months. The Company has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material unrelated party debts and therefore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unrelated party debt covenants. The resilience of the Company and its ability to generate strong cash flows has been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proven through the full-scale war since 2022.</w:t>
      </w:r>
    </w:p>
    <w:p>
      <w:pPr>
        <w:pStyle w:val="TextBody"/>
        <w:bidi w:val="0"/>
        <w:spacing w:lineRule="atLeast" w:line="18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Management is actively monitoring any new developments in applicable sanctions to ensure that we continue to be in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compliance and to evaluate any potential impact on the Company’s financial performance, operations, and governance.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Management has actively engaged with sanctions authorities where appropriate. Management is engaging with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authorities in Ukraine to address any concerns they have about the ownership and management of Kyivstar and to </w:t>
      </w:r>
    </w:p>
    <w:tbl>
      <w:tblPr>
        <w:tblW w:w="93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33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12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/>
      </w:pPr>
      <w:hyperlink w:anchor="i93c99386c4434edbac929edca4af06af_4">
        <w:r>
          <w:rPr>
            <w:rStyle w:val="InternetLink"/>
            <w:rFonts w:ascii="Arial;sans-serif" w:hAnsi="Arial;sans-serif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Notes to the interim condensed consolidated financial statements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/>
          <w:sz w:val="20"/>
          <w:u w:val="single"/>
        </w:rPr>
      </w:pPr>
      <w:r>
        <w:rPr>
          <w:rFonts w:ascii="Arial;sans-serif" w:hAnsi="Arial;sans-serif"/>
          <w:b w:val="false"/>
          <w:i/>
          <w:sz w:val="20"/>
          <w:u w:val="single"/>
        </w:rPr>
        <w:t>(in millions of U.S. dollars unless otherwise stated)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provide all necessary assurances to confirm that sanctioned individuals, including any beneficial owners of LPE Middle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East Limited (formerly L1T VIP Holdings S.à r.l., "LetterOne"), do not participate in the management of Kyivstar.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Matters relating to the VEON-related legal proceedings and restrictions on certain corporate rights remain ongoing.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There were no material developments during the six-month period ended June 30, 2026, or during the period June 30,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through July 31, 2026.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Company’s Nasdaq listing, together with the completion of its secondary offering in February 2026, continues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enhance the Group’s access to capital markets and broaden its investor base.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accompanying unaudited interim condensed consolidated financial statements have been prepared on a going concern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basis. In accordance with IAS 1, Presentation of Financial Statements, the Company has determined that the aforementioned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conditions and events, considered in the aggregate, may cast substantial doubt about the Company’s ability to continue as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going concern for at least 12 months after the date these interim condensed consolidated financial statements were authorized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issuance. Management expects the actions it has taken or will take will mitigate the risk associated with the identified events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conditions. However, given the uncertainty and exogenous nature of the ongoing war and potential future imposed sanctions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well as potential new counter-sanctions, management concluded that a material uncertainty remains related to events 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conditions that may cast significant doubt on the Company’s ability to continue as a going concern, such that it may be unable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realize its assets and discharge its liabilities in the normal course of business. As a U.S. SEC registrant, the Company is required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have its financial statements audited in accordance with Public Company Accounting Oversight Board ("PCAOB") standards.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References in these IFRS financial statements to matters that may cast significant doubt about the Company’s ability to continue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a going concern also raise substantial doubt as contemplated by the PCAOB standards.</w:t>
      </w:r>
    </w:p>
    <w:tbl>
      <w:tblPr>
        <w:tblW w:w="93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33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13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/>
      </w:pPr>
      <w:hyperlink w:anchor="i93c99386c4434edbac929edca4af06af_4">
        <w:r>
          <w:rPr>
            <w:rStyle w:val="InternetLink"/>
            <w:rFonts w:ascii="Arial;sans-serif" w:hAnsi="Arial;sans-serif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Notes to the interim condensed consolidated financial statements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/>
          <w:sz w:val="20"/>
          <w:u w:val="single"/>
        </w:rPr>
      </w:pPr>
      <w:r>
        <w:rPr>
          <w:rFonts w:ascii="Arial;sans-serif" w:hAnsi="Arial;sans-serif"/>
          <w:b w:val="false"/>
          <w:i/>
          <w:sz w:val="20"/>
          <w:u w:val="single"/>
        </w:rPr>
        <w:t>(in millions of U.S. dollars unless otherwise stated)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Major developments during the six-month period 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 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Acquisition of ISP Shtorm LLC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February 9, 2026, the Group entered into a Share Purchase Agreement for the acquisition of 100%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 equity interests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ISP Shtorm LLC for total consideration of US$10. ISP Shtorm LLC is a regional fixed broadband operator providing internet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services to residential and business customers in Ukraine. The transaction closed on February 26, 2026 and has been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accounted for under IFRS 3 Business Combinations. For further details refer to </w:t>
      </w:r>
      <w:hyperlink w:anchor="i93c99386c4434edbac929edca4af06af_46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Note 5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Acquisition of Tabletki.ua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February 10, 2026, the Group announced the acquisition of 100%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 equity interests in Tabletki.ua for total consideration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US$161, payable in full in UAH in Ukraine. Tabletki.ua is one of Ukraine’s most widely used digital platforms for finding,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comparing and reserving medicines and other products available at Ukrainian pharmacies. The transaction closed on February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10, 2026 and was accounted for under IFRS 3 Business Combinations.  For further details refer to </w:t>
      </w:r>
      <w:hyperlink w:anchor="i93c99386c4434edbac929edca4af06af_46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Note 5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Acquisition of six solar power plants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May 26, 2026, the Group completed the acquisition of 100%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 equity interests in the six solar power plants, comprising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Energopostach-Plus LLC, Lightfull LLC, Sunlight Generation LLC, Ternovytsia Solar LLC, Energy Space LLC and Ternovytsia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Solar Plus LLC for total consideration of US$70. The acquired entities own and operate six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solar power plants located in the Lviv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region of Ukraine with a combined installed generation capacity of 105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MW. The transaction has been accounted for under IFRS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3 Business Combinations. For further details refer to </w:t>
      </w:r>
      <w:hyperlink w:anchor="i93c99386c4434edbac929edca4af06af_46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Note 5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Appointment of Chief Financial Officer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May 28, 2026, Kyivstar Group announced the appointment of Taner Kızıltoprak as Chief Financial Officer, effective July 1,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2026. Mr. Kızıltoprak joined the Group on June 1, 2026, as an advisor to the President to support the leadership transition prior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assuming the role of Chief Financial Officer. Mr. Boris Dolgushin continued to serve as Chief Financial Officer through June 30,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2026, after which he transitioned to the role of advisor to the President, focusing on strategic projects. The appointment forms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part of the Group’s executive leadership succession and did not have an impact on the Group’s condensed consolidated interim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financial statements.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Major developments during the six-month period ended June 30, 2025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Kyivstar Expands Digital Portfolio with Acquisition of Uklon, Ukraine’s Top Ride-Hailing Business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March 19,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JSC Kyivstar signed an agreement to acquire 97%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Uklon Group (“Uklon”), a leading Ukrainian ride-hailing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delivery platform for a purchase consideration of US$158. JSC Kyivstar also entered into a symmetrical put and call option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agreement for the remaining 3%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interest in Uklon, which may be exercised within three years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closing. The transaction closed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April 2, 2025.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VEON completes first phase of Share Buyback Program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January 27, 2025, the US$30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first phase of VEON Ltd.'s share buyback program (as carried out by Kyivstar Holdings B.V.)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completed, resulting in an additional purchase of US$22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VEON Ltd. shares. Subsequently, during the three-month period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ended March 31, 2025, all the shares purchased were transferred to VEON Amsterdam B.V. (refer to </w:t>
      </w:r>
      <w:hyperlink w:anchor="i93c99386c4434edbac929edca4af06af_58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Note 8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).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VEON completes reorganization of VEON Holdings B.V.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April 8, 2025, VEON announced that it had successfully completed the reorganization of VEON Holdings B.V. (now Kyivstar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Holdings B.V.). These steps pave the way for the proposed business combination with Cohen Circle, which is expected to lead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common shares and warrants of Kyivstar Group, being listed on Nasdaq.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Bond repayments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Kyivstar Holdings B.V. repaid all of its 4.0%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April 2025 U.S. Dollar denominated Notes (US$472) and 6.3%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June 2025 Russian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Ruble denominated Notes (US$100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(RUB7,840)), on April 9,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June 18, 2025, respectively.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Kyivstar increases ownership stake in Helsi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May 2025, Kyivstar and LLC “UKRAINIAN INVESTMENT PLATFORM”, representing 26.9%ownership together with other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minority stakeholders representing 1.1%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ownership in Helsi, negotiated an agreement to buy out the ownership stake of these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tbl>
      <w:tblPr>
        <w:tblW w:w="93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33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14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/>
      </w:pPr>
      <w:hyperlink w:anchor="i93c99386c4434edbac929edca4af06af_4">
        <w:r>
          <w:rPr>
            <w:rStyle w:val="InternetLink"/>
            <w:rFonts w:ascii="Arial;sans-serif" w:hAnsi="Arial;sans-serif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Notes to the interim condensed consolidated financial statements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/>
          <w:sz w:val="20"/>
          <w:u w:val="single"/>
        </w:rPr>
      </w:pPr>
      <w:r>
        <w:rPr>
          <w:rFonts w:ascii="Arial;sans-serif" w:hAnsi="Arial;sans-serif"/>
          <w:b w:val="false"/>
          <w:i/>
          <w:sz w:val="20"/>
          <w:u w:val="single"/>
        </w:rPr>
        <w:t>(in millions of U.S. dollars unless otherwise stated)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parties for US$11. Simultaneously the parties also terminated the existing put and call option agreements to the extent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representing the stake of these parties, resulting in partial derecognition of the put option liability. At the same time Kyivstar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agreed to terms with the remaining 2.01%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based on the terms of the originally entered put and call option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agreement.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tbl>
      <w:tblPr>
        <w:tblW w:w="93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33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15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/>
      </w:pPr>
      <w:hyperlink w:anchor="i93c99386c4434edbac929edca4af06af_4">
        <w:r>
          <w:rPr>
            <w:rStyle w:val="InternetLink"/>
            <w:rFonts w:ascii="Arial;sans-serif" w:hAnsi="Arial;sans-serif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Notes to the interim condensed consolidated financial statements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/>
          <w:sz w:val="20"/>
          <w:u w:val="single"/>
        </w:rPr>
      </w:pPr>
      <w:r>
        <w:rPr>
          <w:rFonts w:ascii="Arial;sans-serif" w:hAnsi="Arial;sans-serif"/>
          <w:b w:val="false"/>
          <w:i/>
          <w:sz w:val="20"/>
          <w:u w:val="single"/>
        </w:rPr>
        <w:t>(in millions of U.S. dollars unless otherwise stated)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OPERATING ACTIVITIES OF THE GROUP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2SEGMENT INFORMATION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Kyivstar operations are considered as one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operating segment. While Kyivstar Group identifies a single reportable segment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accordance with IFRS 8 Operating Segments, revenue is disaggregated into the following categories: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Telecommunication and infrastructure revenue – service revenue from mobile and fixed connectivity services provided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individuals and corporate customers and infrastructure services;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Digital revenue – revenue from proprietary digital platforms and services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Management evaluates Kyivstar’s performance on a regular basis, primarily based on earnings before interest, tax, depreciation,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amortization, impairment, gain or loss on disposals of non-current assets, other non-operating gains or losses, and for certain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non-recurring items such as listing expense (“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Adjusted EBITDA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”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) along with assessing the capital expenditures excluding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certain costs such as those for telecommunication licenses and right-of-use assets (“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CAPEX excl. licenses and ROU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”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).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following tables present revenue disaggregation and the key financial information for the six and three-month periods ended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2025: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the six-month period ended June 30:</w:t>
      </w:r>
    </w:p>
    <w:tbl>
      <w:tblPr>
        <w:tblW w:w="524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21"/>
        <w:gridCol w:w="109"/>
        <w:gridCol w:w="840"/>
        <w:gridCol w:w="841"/>
        <w:gridCol w:w="109"/>
        <w:gridCol w:w="645"/>
        <w:gridCol w:w="645"/>
        <w:gridCol w:w="109"/>
        <w:gridCol w:w="587"/>
        <w:gridCol w:w="643"/>
      </w:tblGrid>
      <w:tr>
        <w:trPr/>
        <w:tc>
          <w:tcPr>
            <w:tcW w:w="7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1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Telecommunication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and infrastructure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revenue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0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Digital revenue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0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 revenue</w:t>
            </w:r>
          </w:p>
        </w:tc>
      </w:tr>
      <w:tr>
        <w:trPr/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84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645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643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Kyivstar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521</w:t>
            </w:r>
          </w:p>
        </w:tc>
        <w:tc>
          <w:tcPr>
            <w:tcW w:w="8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480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141</w:t>
            </w:r>
          </w:p>
        </w:tc>
        <w:tc>
          <w:tcPr>
            <w:tcW w:w="6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662</w:t>
            </w:r>
          </w:p>
        </w:tc>
        <w:tc>
          <w:tcPr>
            <w:tcW w:w="6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539</w:t>
            </w:r>
          </w:p>
        </w:tc>
      </w:tr>
      <w:tr>
        <w:trPr/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3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521</w:t>
            </w:r>
          </w:p>
        </w:tc>
        <w:tc>
          <w:tcPr>
            <w:tcW w:w="84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480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141</w:t>
            </w:r>
          </w:p>
        </w:tc>
        <w:tc>
          <w:tcPr>
            <w:tcW w:w="64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662</w:t>
            </w:r>
          </w:p>
        </w:tc>
        <w:tc>
          <w:tcPr>
            <w:tcW w:w="643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539</w:t>
            </w:r>
          </w:p>
        </w:tc>
      </w:tr>
    </w:tbl>
    <w:tbl>
      <w:tblPr>
        <w:tblW w:w="632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21"/>
        <w:gridCol w:w="109"/>
        <w:gridCol w:w="466"/>
        <w:gridCol w:w="466"/>
        <w:gridCol w:w="109"/>
        <w:gridCol w:w="854"/>
        <w:gridCol w:w="856"/>
        <w:gridCol w:w="109"/>
        <w:gridCol w:w="466"/>
        <w:gridCol w:w="466"/>
        <w:gridCol w:w="109"/>
        <w:gridCol w:w="758"/>
        <w:gridCol w:w="832"/>
      </w:tblGrid>
      <w:tr>
        <w:trPr/>
        <w:tc>
          <w:tcPr>
            <w:tcW w:w="7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Revenue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0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Selling, general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administrative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expenses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Adjusted 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EBITDA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0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 xml:space="preserve">CAPEX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 xml:space="preserve">excl. licenses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ROU*</w:t>
            </w:r>
          </w:p>
        </w:tc>
      </w:tr>
      <w:tr>
        <w:trPr/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46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85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46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832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Kyivstar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662</w:t>
            </w:r>
          </w:p>
        </w:tc>
        <w:tc>
          <w:tcPr>
            <w:tcW w:w="4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539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231</w:t>
            </w:r>
          </w:p>
        </w:tc>
        <w:tc>
          <w:tcPr>
            <w:tcW w:w="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183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361</w:t>
            </w:r>
          </w:p>
        </w:tc>
        <w:tc>
          <w:tcPr>
            <w:tcW w:w="4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306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126</w:t>
            </w:r>
          </w:p>
        </w:tc>
        <w:tc>
          <w:tcPr>
            <w:tcW w:w="83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134</w:t>
            </w:r>
          </w:p>
        </w:tc>
      </w:tr>
      <w:tr>
        <w:trPr/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662</w:t>
            </w:r>
          </w:p>
        </w:tc>
        <w:tc>
          <w:tcPr>
            <w:tcW w:w="46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539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231</w:t>
            </w:r>
          </w:p>
        </w:tc>
        <w:tc>
          <w:tcPr>
            <w:tcW w:w="8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183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361</w:t>
            </w:r>
          </w:p>
        </w:tc>
        <w:tc>
          <w:tcPr>
            <w:tcW w:w="46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306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126</w:t>
            </w:r>
          </w:p>
        </w:tc>
        <w:tc>
          <w:tcPr>
            <w:tcW w:w="832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134</w:t>
            </w:r>
          </w:p>
        </w:tc>
      </w:tr>
    </w:tbl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</w:rPr>
        <w:t>*This includes capital expenditures on property, plant and equipment, net of advances, of US$151</w:t>
      </w:r>
      <w:r>
        <w:rPr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</w:rPr>
        <w:t>(2025: US$159), intangible assets of US$43</w:t>
      </w:r>
      <w:r>
        <w:rPr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</w:rPr>
        <w:t>(2025: US$33) after deducting additions in licenses of US$nil</w:t>
      </w:r>
      <w:r>
        <w:rPr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</w:rPr>
        <w:t>(2025: US$nil) and right-of-use assets of US$68</w:t>
      </w:r>
      <w:r>
        <w:rPr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</w:rPr>
        <w:t>(2025: US$58)</w:t>
      </w:r>
    </w:p>
    <w:tbl>
      <w:tblPr>
        <w:tblW w:w="93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33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16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/>
      </w:pPr>
      <w:hyperlink w:anchor="i93c99386c4434edbac929edca4af06af_4">
        <w:r>
          <w:rPr>
            <w:rStyle w:val="InternetLink"/>
            <w:rFonts w:ascii="Arial;sans-serif" w:hAnsi="Arial;sans-serif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Notes to the interim condensed consolidated financial statements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/>
          <w:sz w:val="20"/>
          <w:u w:val="single"/>
        </w:rPr>
      </w:pPr>
      <w:r>
        <w:rPr>
          <w:rFonts w:ascii="Arial;sans-serif" w:hAnsi="Arial;sans-serif"/>
          <w:b w:val="false"/>
          <w:i/>
          <w:sz w:val="20"/>
          <w:u w:val="single"/>
        </w:rPr>
        <w:t>(in millions of U.S. dollars unless otherwise stated)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the three-month period ended June 30: </w:t>
      </w:r>
    </w:p>
    <w:tbl>
      <w:tblPr>
        <w:tblW w:w="524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21"/>
        <w:gridCol w:w="109"/>
        <w:gridCol w:w="840"/>
        <w:gridCol w:w="841"/>
        <w:gridCol w:w="109"/>
        <w:gridCol w:w="645"/>
        <w:gridCol w:w="645"/>
        <w:gridCol w:w="109"/>
        <w:gridCol w:w="587"/>
        <w:gridCol w:w="643"/>
      </w:tblGrid>
      <w:tr>
        <w:trPr/>
        <w:tc>
          <w:tcPr>
            <w:tcW w:w="7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81" w:type="dxa"/>
            <w:gridSpan w:val="2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Telecommunication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and infrastructure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revenue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0" w:type="dxa"/>
            <w:gridSpan w:val="2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Digital revenue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0" w:type="dxa"/>
            <w:gridSpan w:val="2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 revenue</w:t>
            </w:r>
          </w:p>
        </w:tc>
      </w:tr>
      <w:tr>
        <w:trPr/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84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64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643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3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Kyivstar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265</w:t>
            </w:r>
          </w:p>
        </w:tc>
        <w:tc>
          <w:tcPr>
            <w:tcW w:w="8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244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74</w:t>
            </w:r>
          </w:p>
        </w:tc>
        <w:tc>
          <w:tcPr>
            <w:tcW w:w="64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339</w:t>
            </w:r>
          </w:p>
        </w:tc>
        <w:tc>
          <w:tcPr>
            <w:tcW w:w="6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284</w:t>
            </w:r>
          </w:p>
        </w:tc>
      </w:tr>
      <w:tr>
        <w:trPr/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3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265</w:t>
            </w:r>
          </w:p>
        </w:tc>
        <w:tc>
          <w:tcPr>
            <w:tcW w:w="84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244</w:t>
            </w:r>
          </w:p>
        </w:tc>
        <w:tc>
          <w:tcPr>
            <w:tcW w:w="109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74</w:t>
            </w:r>
          </w:p>
        </w:tc>
        <w:tc>
          <w:tcPr>
            <w:tcW w:w="645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7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339</w:t>
            </w:r>
          </w:p>
        </w:tc>
        <w:tc>
          <w:tcPr>
            <w:tcW w:w="643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284</w:t>
            </w:r>
          </w:p>
        </w:tc>
      </w:tr>
    </w:tbl>
    <w:tbl>
      <w:tblPr>
        <w:tblW w:w="67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21"/>
        <w:gridCol w:w="109"/>
        <w:gridCol w:w="466"/>
        <w:gridCol w:w="466"/>
        <w:gridCol w:w="109"/>
        <w:gridCol w:w="854"/>
        <w:gridCol w:w="856"/>
        <w:gridCol w:w="109"/>
        <w:gridCol w:w="466"/>
        <w:gridCol w:w="466"/>
        <w:gridCol w:w="109"/>
        <w:gridCol w:w="966"/>
        <w:gridCol w:w="1059"/>
      </w:tblGrid>
      <w:tr>
        <w:trPr/>
        <w:tc>
          <w:tcPr>
            <w:tcW w:w="7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Revenue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0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Selling, general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administrative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expenses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Adjusted 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EBITDA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25" w:type="dxa"/>
            <w:gridSpan w:val="2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 xml:space="preserve">CAPEX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excl. licenses and ROU*</w:t>
            </w:r>
          </w:p>
        </w:tc>
      </w:tr>
      <w:tr>
        <w:trPr/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46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85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46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059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Kyivstar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339</w:t>
            </w:r>
          </w:p>
        </w:tc>
        <w:tc>
          <w:tcPr>
            <w:tcW w:w="4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284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113</w:t>
            </w:r>
          </w:p>
        </w:tc>
        <w:tc>
          <w:tcPr>
            <w:tcW w:w="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188</w:t>
            </w:r>
          </w:p>
        </w:tc>
        <w:tc>
          <w:tcPr>
            <w:tcW w:w="4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59</w:t>
            </w:r>
          </w:p>
        </w:tc>
        <w:tc>
          <w:tcPr>
            <w:tcW w:w="105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83</w:t>
            </w:r>
          </w:p>
        </w:tc>
      </w:tr>
      <w:tr>
        <w:trPr/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339</w:t>
            </w:r>
          </w:p>
        </w:tc>
        <w:tc>
          <w:tcPr>
            <w:tcW w:w="46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284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113</w:t>
            </w:r>
          </w:p>
        </w:tc>
        <w:tc>
          <w:tcPr>
            <w:tcW w:w="8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188</w:t>
            </w:r>
          </w:p>
        </w:tc>
        <w:tc>
          <w:tcPr>
            <w:tcW w:w="46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59</w:t>
            </w:r>
          </w:p>
        </w:tc>
        <w:tc>
          <w:tcPr>
            <w:tcW w:w="1059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83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</w:rPr>
        <w:t>*This includes capital expenditures on property, plant and equipment, net of advances, of US$65</w:t>
      </w:r>
      <w:r>
        <w:rPr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</w:rPr>
        <w:t>(2025: US$73), intangible assets of US$20</w:t>
      </w:r>
      <w:r>
        <w:rPr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</w:rPr>
        <w:t>(2025: US$25) after deducting additions in licenses of US$nil</w:t>
      </w:r>
      <w:r>
        <w:rPr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</w:rPr>
        <w:t>(2025: US$nil) and right-of-use assets of US$26</w:t>
      </w:r>
      <w:r>
        <w:rPr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</w:rPr>
        <w:t xml:space="preserve">(2025: US$15)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following table provides the reconciliation of Total Adjusted EBITDA to Profit before tax for the six and three-month periods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ended June 30:</w:t>
      </w:r>
    </w:p>
    <w:tbl>
      <w:tblPr>
        <w:tblW w:w="803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591"/>
        <w:gridCol w:w="109"/>
        <w:gridCol w:w="743"/>
        <w:gridCol w:w="743"/>
        <w:gridCol w:w="109"/>
        <w:gridCol w:w="829"/>
        <w:gridCol w:w="911"/>
      </w:tblGrid>
      <w:tr>
        <w:trPr/>
        <w:tc>
          <w:tcPr>
            <w:tcW w:w="4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6" w:type="dxa"/>
            <w:gridSpan w:val="2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Six-month period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0" w:type="dxa"/>
            <w:gridSpan w:val="2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Three-month period</w:t>
            </w:r>
          </w:p>
        </w:tc>
      </w:tr>
      <w:tr>
        <w:trPr/>
        <w:tc>
          <w:tcPr>
            <w:tcW w:w="4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743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91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4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Adjusted EBITDA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3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361</w:t>
            </w:r>
          </w:p>
        </w:tc>
        <w:tc>
          <w:tcPr>
            <w:tcW w:w="743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306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188</w:t>
            </w:r>
          </w:p>
        </w:tc>
        <w:tc>
          <w:tcPr>
            <w:tcW w:w="91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166</w:t>
            </w:r>
          </w:p>
        </w:tc>
      </w:tr>
      <w:tr>
        <w:trPr/>
        <w:tc>
          <w:tcPr>
            <w:tcW w:w="4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Adjustments to reconcile Adjusted EBITDA to Profit before tax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Depreciation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(78)</w:t>
            </w:r>
          </w:p>
        </w:tc>
        <w:tc>
          <w:tcPr>
            <w:tcW w:w="7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(66)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(40)</w:t>
            </w:r>
          </w:p>
        </w:tc>
        <w:tc>
          <w:tcPr>
            <w:tcW w:w="9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(35)</w:t>
            </w:r>
          </w:p>
        </w:tc>
      </w:tr>
      <w:tr>
        <w:trPr/>
        <w:tc>
          <w:tcPr>
            <w:tcW w:w="4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Amortization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(44)</w:t>
            </w:r>
          </w:p>
        </w:tc>
        <w:tc>
          <w:tcPr>
            <w:tcW w:w="7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(29)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(24)</w:t>
            </w:r>
          </w:p>
        </w:tc>
        <w:tc>
          <w:tcPr>
            <w:tcW w:w="9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(16)</w:t>
            </w:r>
          </w:p>
        </w:tc>
      </w:tr>
      <w:tr>
        <w:trPr/>
        <w:tc>
          <w:tcPr>
            <w:tcW w:w="4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Impairment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(4)</w:t>
            </w:r>
          </w:p>
        </w:tc>
        <w:tc>
          <w:tcPr>
            <w:tcW w:w="7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(2)</w:t>
            </w:r>
          </w:p>
        </w:tc>
        <w:tc>
          <w:tcPr>
            <w:tcW w:w="9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(2)</w:t>
            </w:r>
          </w:p>
        </w:tc>
      </w:tr>
      <w:tr>
        <w:trPr/>
        <w:tc>
          <w:tcPr>
            <w:tcW w:w="4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Gain / (loss) on disposal of non-current asset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</w:t>
            </w:r>
          </w:p>
        </w:tc>
        <w:tc>
          <w:tcPr>
            <w:tcW w:w="7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</w:t>
            </w:r>
          </w:p>
        </w:tc>
        <w:tc>
          <w:tcPr>
            <w:tcW w:w="9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(1)</w:t>
            </w:r>
          </w:p>
        </w:tc>
      </w:tr>
      <w:tr>
        <w:trPr/>
        <w:tc>
          <w:tcPr>
            <w:tcW w:w="4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Finance costs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(37)</w:t>
            </w:r>
          </w:p>
        </w:tc>
        <w:tc>
          <w:tcPr>
            <w:tcW w:w="7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(39)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(19)</w:t>
            </w:r>
          </w:p>
        </w:tc>
        <w:tc>
          <w:tcPr>
            <w:tcW w:w="9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(18)</w:t>
            </w:r>
          </w:p>
        </w:tc>
      </w:tr>
      <w:tr>
        <w:trPr/>
        <w:tc>
          <w:tcPr>
            <w:tcW w:w="4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Finance income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</w:t>
            </w:r>
          </w:p>
        </w:tc>
        <w:tc>
          <w:tcPr>
            <w:tcW w:w="7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</w:t>
            </w:r>
          </w:p>
        </w:tc>
        <w:tc>
          <w:tcPr>
            <w:tcW w:w="9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</w:t>
            </w:r>
          </w:p>
        </w:tc>
      </w:tr>
      <w:tr>
        <w:trPr/>
        <w:tc>
          <w:tcPr>
            <w:tcW w:w="4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non-operating loss, net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(21)</w:t>
            </w:r>
          </w:p>
        </w:tc>
        <w:tc>
          <w:tcPr>
            <w:tcW w:w="74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(20)</w:t>
            </w:r>
          </w:p>
        </w:tc>
        <w:tc>
          <w:tcPr>
            <w:tcW w:w="9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(3)</w:t>
            </w:r>
          </w:p>
        </w:tc>
      </w:tr>
      <w:tr>
        <w:trPr/>
        <w:tc>
          <w:tcPr>
            <w:tcW w:w="4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Foreign exchange gain / (loss), net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</w:t>
            </w:r>
          </w:p>
        </w:tc>
        <w:tc>
          <w:tcPr>
            <w:tcW w:w="74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(13)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</w:t>
            </w:r>
          </w:p>
        </w:tc>
        <w:tc>
          <w:tcPr>
            <w:tcW w:w="9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</w:t>
            </w:r>
          </w:p>
        </w:tc>
      </w:tr>
      <w:tr>
        <w:trPr/>
        <w:tc>
          <w:tcPr>
            <w:tcW w:w="4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3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3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Profit before tax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3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201</w:t>
            </w:r>
          </w:p>
        </w:tc>
        <w:tc>
          <w:tcPr>
            <w:tcW w:w="743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161</w:t>
            </w:r>
          </w:p>
        </w:tc>
        <w:tc>
          <w:tcPr>
            <w:tcW w:w="109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97</w:t>
            </w:r>
          </w:p>
        </w:tc>
        <w:tc>
          <w:tcPr>
            <w:tcW w:w="91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103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3          SHARE-BASED PAYMENTS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following table sets forth the total share-based payment expense for the six and three-month periods ended June 30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relation to all directors and employees of the Company.</w:t>
      </w:r>
    </w:p>
    <w:tbl>
      <w:tblPr>
        <w:tblW w:w="666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36"/>
        <w:gridCol w:w="665"/>
        <w:gridCol w:w="155"/>
        <w:gridCol w:w="665"/>
        <w:gridCol w:w="745"/>
        <w:gridCol w:w="174"/>
        <w:gridCol w:w="820"/>
      </w:tblGrid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5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Six-month period</w:t>
            </w:r>
          </w:p>
        </w:tc>
        <w:tc>
          <w:tcPr>
            <w:tcW w:w="1739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Three-month period</w:t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5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745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174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34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Equity-settled share-based payment expense</w:t>
            </w:r>
          </w:p>
        </w:tc>
        <w:tc>
          <w:tcPr>
            <w:tcW w:w="665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  <w:tc>
          <w:tcPr>
            <w:tcW w:w="15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5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45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  <w:tc>
          <w:tcPr>
            <w:tcW w:w="174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4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Total share-based compensation expense</w:t>
            </w:r>
          </w:p>
        </w:tc>
        <w:tc>
          <w:tcPr>
            <w:tcW w:w="665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  <w:tc>
          <w:tcPr>
            <w:tcW w:w="155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5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45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  <w:tc>
          <w:tcPr>
            <w:tcW w:w="174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</w:tbl>
    <w:tbl>
      <w:tblPr>
        <w:tblW w:w="93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33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17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/>
      </w:pPr>
      <w:hyperlink w:anchor="i93c99386c4434edbac929edca4af06af_4">
        <w:r>
          <w:rPr>
            <w:rStyle w:val="InternetLink"/>
            <w:rFonts w:ascii="Arial;sans-serif" w:hAnsi="Arial;sans-serif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Notes to the interim condensed consolidated financial statements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/>
          <w:sz w:val="20"/>
          <w:u w:val="single"/>
        </w:rPr>
      </w:pPr>
      <w:r>
        <w:rPr>
          <w:rFonts w:ascii="Arial;sans-serif" w:hAnsi="Arial;sans-serif"/>
          <w:b w:val="false"/>
          <w:i/>
          <w:sz w:val="20"/>
          <w:u w:val="single"/>
        </w:rPr>
        <w:t>(in millions of U.S. dollars unless otherwise stated)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Umbrella Incentive Plan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December 2025, the Remuneration Committee approved the Group's Umbrella Incentive Plan (“Umbrella Plan”). Following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listing on Nasdaq this plan will help to establish a flexible, market-aligned framework designed to support retention, reward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performance, and align with shareholder interests.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January 27, 2026, certain operating companies executives were granted long term incentive ("LTI") award of 439,980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equity-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settled common shares under the Umbrella Plan (assuming maximum achievement). These awards are subject to a market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condition tied to an absolute share price target, applicable to the total number of shares granted with vesting scheduled 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December 31, 2027. The fair value of the awards with market performance conditions was determined using a Monte Carlo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simulation that takes into account the likelihood of the performance condition being satisfied.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During the six months period ended June 30, 2026, certain operating compaies executives were granted long term incentive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("LTI") award of 335,372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equity-settled common shares under the Umbrella Plan (assuming maximum achievement). These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awards are subject to a market condition tied to an absolute share price target, applicable to the total number of shares granted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with vesting scheduled for December 31, 2028. The fair value of the awards with market performance conditions was determined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using a Monte Carlo simulation that takes into account the likelihood of the performance condition being satisfied.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following table sets forth the principal assumptions applied by the Group in determining the fair value of issued equity settled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share-based payment awards with market performance conditions: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tbl>
      <w:tblPr>
        <w:tblW w:w="559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066"/>
        <w:gridCol w:w="661"/>
        <w:gridCol w:w="166"/>
        <w:gridCol w:w="706"/>
      </w:tblGrid>
      <w:tr>
        <w:trPr/>
        <w:tc>
          <w:tcPr>
            <w:tcW w:w="4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Assumptions affecting inputs to fair value model</w:t>
            </w:r>
          </w:p>
        </w:tc>
        <w:tc>
          <w:tcPr>
            <w:tcW w:w="1533" w:type="dxa"/>
            <w:gridSpan w:val="3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Equity-settled</w:t>
            </w:r>
          </w:p>
        </w:tc>
      </w:tr>
      <w:tr>
        <w:trPr/>
        <w:tc>
          <w:tcPr>
            <w:tcW w:w="40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Annual risk-free rates of return and discount rates (%)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3.65%</w:t>
            </w:r>
          </w:p>
        </w:tc>
        <w:tc>
          <w:tcPr>
            <w:tcW w:w="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-</w:t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3.83%</w:t>
            </w:r>
          </w:p>
        </w:tc>
      </w:tr>
      <w:tr>
        <w:trPr/>
        <w:tc>
          <w:tcPr>
            <w:tcW w:w="40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Long-term dividend yield (%)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%</w:t>
            </w:r>
          </w:p>
        </w:tc>
      </w:tr>
      <w:tr>
        <w:trPr/>
        <w:tc>
          <w:tcPr>
            <w:tcW w:w="40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Volatility of share price (%)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48.44%</w:t>
            </w:r>
          </w:p>
        </w:tc>
        <w:tc>
          <w:tcPr>
            <w:tcW w:w="1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-</w:t>
            </w:r>
          </w:p>
        </w:tc>
        <w:tc>
          <w:tcPr>
            <w:tcW w:w="7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49.80%</w:t>
            </w:r>
          </w:p>
        </w:tc>
      </w:tr>
      <w:tr>
        <w:trPr/>
        <w:tc>
          <w:tcPr>
            <w:tcW w:w="40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Share price (p)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$11.72</w:t>
            </w:r>
          </w:p>
        </w:tc>
        <w:tc>
          <w:tcPr>
            <w:tcW w:w="1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-</w:t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$12.59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February 10, 2026, certain directors were granted LTI award totaling 20,000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equity-settled common shares under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Umbrella Plan. These awards vested immediately upon grant.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Fair value was measured as the market price of the Company's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common shares as of the grant date.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During the six-month period ended June 30, 2026, a total of 20,000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common shares were transferred to the operating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companies' executives in connection with the equity awards that vested in February 2026.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  </w:t>
      </w:r>
    </w:p>
    <w:tbl>
      <w:tblPr>
        <w:tblW w:w="93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33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18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/>
      </w:pPr>
      <w:hyperlink w:anchor="i93c99386c4434edbac929edca4af06af_4">
        <w:r>
          <w:rPr>
            <w:rStyle w:val="InternetLink"/>
            <w:rFonts w:ascii="Arial;sans-serif" w:hAnsi="Arial;sans-serif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Notes to the interim condensed consolidated financial statements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/>
          <w:sz w:val="20"/>
          <w:u w:val="single"/>
        </w:rPr>
      </w:pPr>
      <w:r>
        <w:rPr>
          <w:rFonts w:ascii="Arial;sans-serif" w:hAnsi="Arial;sans-serif"/>
          <w:b w:val="false"/>
          <w:i/>
          <w:sz w:val="20"/>
          <w:u w:val="single"/>
        </w:rPr>
        <w:t>(in millions of U.S. dollars unless otherwise stated)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4INCOME TAXES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Income tax expense in the interim period is recognized based on management’s estimate of the weighted average annual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effective income tax rate expected for the full financial year, consistent with IAS 34. Income tax expense comprises current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deferred tax. Current and deferred tax are measured in accordance with IAS 12. Changes in the estimated annual effective tax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rate are recognized prospectively in the interim period in which the estimate changes.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Income tax expense consisted of the following for the six and three-month periods ended June 30:</w:t>
      </w:r>
    </w:p>
    <w:tbl>
      <w:tblPr>
        <w:tblW w:w="465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86"/>
        <w:gridCol w:w="109"/>
        <w:gridCol w:w="571"/>
        <w:gridCol w:w="109"/>
        <w:gridCol w:w="571"/>
        <w:gridCol w:w="109"/>
        <w:gridCol w:w="590"/>
        <w:gridCol w:w="152"/>
        <w:gridCol w:w="654"/>
      </w:tblGrid>
      <w:tr>
        <w:trPr/>
        <w:tc>
          <w:tcPr>
            <w:tcW w:w="17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1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Six-month period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Three-month period</w:t>
            </w:r>
          </w:p>
        </w:tc>
      </w:tr>
      <w:tr>
        <w:trPr/>
        <w:tc>
          <w:tcPr>
            <w:tcW w:w="17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0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52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17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Current income taxes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0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(18)</w:t>
            </w:r>
          </w:p>
        </w:tc>
        <w:tc>
          <w:tcPr>
            <w:tcW w:w="15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(18)</w:t>
            </w:r>
          </w:p>
        </w:tc>
      </w:tr>
      <w:tr>
        <w:trPr/>
        <w:tc>
          <w:tcPr>
            <w:tcW w:w="17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Deferred income taxes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(5)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0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(2)</w:t>
            </w:r>
          </w:p>
        </w:tc>
        <w:tc>
          <w:tcPr>
            <w:tcW w:w="15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(3)</w:t>
            </w:r>
          </w:p>
        </w:tc>
      </w:tr>
      <w:tr>
        <w:trPr/>
        <w:tc>
          <w:tcPr>
            <w:tcW w:w="17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Income taxes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(39)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(35)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0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(20)</w:t>
            </w:r>
          </w:p>
        </w:tc>
        <w:tc>
          <w:tcPr>
            <w:tcW w:w="152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(21)</w:t>
            </w:r>
          </w:p>
        </w:tc>
      </w:tr>
      <w:tr>
        <w:trPr/>
        <w:tc>
          <w:tcPr>
            <w:tcW w:w="17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Effective tax rate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19.4%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21.7%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0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20.6%</w:t>
            </w:r>
          </w:p>
        </w:tc>
        <w:tc>
          <w:tcPr>
            <w:tcW w:w="152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20.4%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Kyivstar Group is a tax resident of the UAE and in the process of obtaining a Qualified Freezone Entity status with 0% tax rate.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While the statutory tax rate in UAE is 9% ( and currently applicable), the Company's major business operations are in Ukraine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where the statutory tax rate is 18% and therefore closely represents the Group's effective tax rate for the period due to its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exposure to higher tax jurisdiction (Ukraine).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Global Minimum Tax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Group falls within the scope of enacted Pillar Two legislation through its inclusion in the consolidated group headed by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VEON Ltd. as the ultimate parent entity (“UPE”). Accordingly, Kyivstar Group is covered under the Pillar Two framework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applicable to the VEON Group. No Pillar Two tax expense or income was recognized for the six and three-month periods ended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2025.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assessment of the potential exposure to Pillar Two income taxes is based on the most recent tax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filings, country-by-country reporting and financial statements for the constituent entities within the Kyivstar Group. Based on this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assessment, the Pillar Two effective tax rates in the majority of jurisdictions in which the Kyivstar Group operates are above 15%.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has applied the IAS 12 exception to recognizing and disclosing information about deferred tax assets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liabilities related to Pillar Two income taxes.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tbl>
      <w:tblPr>
        <w:tblW w:w="93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33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19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/>
      </w:pPr>
      <w:hyperlink w:anchor="i93c99386c4434edbac929edca4af06af_4">
        <w:r>
          <w:rPr>
            <w:rStyle w:val="InternetLink"/>
            <w:rFonts w:ascii="Arial;sans-serif" w:hAnsi="Arial;sans-serif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Notes to the interim condensed consolidated financial statements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/>
          <w:sz w:val="20"/>
          <w:u w:val="single"/>
        </w:rPr>
      </w:pPr>
      <w:r>
        <w:rPr>
          <w:rFonts w:ascii="Arial;sans-serif" w:hAnsi="Arial;sans-serif"/>
          <w:b w:val="false"/>
          <w:i/>
          <w:sz w:val="20"/>
          <w:u w:val="single"/>
        </w:rPr>
        <w:t>(in millions of U.S. dollars unless otherwise stated)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INVESTING ACTIVITIES OF THE GROUP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5SIGNIFICANT TRANSACTIONS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During the six-month period ended June 30, 2026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Acquisition of Tabletki Group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February 10, 2026, JSC Kyivstar signed a share purchase agreement ("SPA") to acquire 100%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shares of MTPK LLC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its subsidiaries (collectively, the "Tabletki Group") for total consideration of US$161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upon closing of the transaction. Tabletki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Group, established in 2008, is a Ukrainian business specializing in the development and maintenance of an automated platform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searching and booking medicines and other products from pharmacies in Ukraine. This strategic acquisition marks Kyivstar’s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expansion into digital healthcare and pharmacy-related consumer services in line with the Group’s digital operator strategy.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Tabletki Group consists of MTPK LLC, Farmel LLC, and Farma Studio LLC. The total consideration transferred amounts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US$161, which was paid in full in cash in Ukrainian hryvnia. The agreement was subject to customary closing conditions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approvals that were obtained on February 10, 2026, the date the acquisition was completed. The transaction is accounted for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accordance with IFRS 3 Business Combinations.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provisional fair values of identifiable assets and liabilities of Tabletki Group at the date of acquisition were: </w:t>
      </w:r>
    </w:p>
    <w:tbl>
      <w:tblPr>
        <w:tblW w:w="447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941"/>
        <w:gridCol w:w="1531"/>
      </w:tblGrid>
      <w:tr>
        <w:trPr/>
        <w:tc>
          <w:tcPr>
            <w:tcW w:w="2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February 10, 2026</w:t>
            </w:r>
          </w:p>
        </w:tc>
      </w:tr>
      <w:tr>
        <w:trPr/>
        <w:tc>
          <w:tcPr>
            <w:tcW w:w="29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Non-current assets</w:t>
            </w:r>
          </w:p>
        </w:tc>
        <w:tc>
          <w:tcPr>
            <w:tcW w:w="15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Intangible assets</w:t>
            </w:r>
          </w:p>
        </w:tc>
        <w:tc>
          <w:tcPr>
            <w:tcW w:w="15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79</w:t>
            </w:r>
          </w:p>
        </w:tc>
      </w:tr>
      <w:tr>
        <w:trPr/>
        <w:tc>
          <w:tcPr>
            <w:tcW w:w="29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Current assets</w:t>
            </w:r>
          </w:p>
        </w:tc>
        <w:tc>
          <w:tcPr>
            <w:tcW w:w="15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Cash and cash equivalents</w:t>
            </w:r>
          </w:p>
        </w:tc>
        <w:tc>
          <w:tcPr>
            <w:tcW w:w="15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</w:tr>
      <w:tr>
        <w:trPr/>
        <w:tc>
          <w:tcPr>
            <w:tcW w:w="29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current assets</w:t>
            </w:r>
          </w:p>
        </w:tc>
        <w:tc>
          <w:tcPr>
            <w:tcW w:w="15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</w:tr>
      <w:tr>
        <w:trPr/>
        <w:tc>
          <w:tcPr>
            <w:tcW w:w="29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Fair value of identifiable net assets</w:t>
            </w:r>
          </w:p>
        </w:tc>
        <w:tc>
          <w:tcPr>
            <w:tcW w:w="153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82</w:t>
            </w:r>
          </w:p>
        </w:tc>
      </w:tr>
      <w:tr>
        <w:trPr/>
        <w:tc>
          <w:tcPr>
            <w:tcW w:w="29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Goodwill resulting from acquisition</w:t>
            </w:r>
          </w:p>
        </w:tc>
        <w:tc>
          <w:tcPr>
            <w:tcW w:w="15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79</w:t>
            </w:r>
          </w:p>
        </w:tc>
      </w:tr>
      <w:tr>
        <w:trPr/>
        <w:tc>
          <w:tcPr>
            <w:tcW w:w="29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Purchase consideration</w:t>
            </w:r>
          </w:p>
        </w:tc>
        <w:tc>
          <w:tcPr>
            <w:tcW w:w="153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161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following table shows the details of cash outflow during the six-months ended June 30, 2026:</w:t>
      </w:r>
    </w:p>
    <w:tbl>
      <w:tblPr>
        <w:tblW w:w="453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6"/>
        <w:gridCol w:w="1216"/>
      </w:tblGrid>
      <w:tr>
        <w:trPr/>
        <w:tc>
          <w:tcPr>
            <w:tcW w:w="3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June 30, 2026</w:t>
            </w:r>
          </w:p>
        </w:tc>
      </w:tr>
      <w:tr>
        <w:trPr/>
        <w:tc>
          <w:tcPr>
            <w:tcW w:w="33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Cash outflow, net of cash acquired</w:t>
            </w:r>
          </w:p>
        </w:tc>
        <w:tc>
          <w:tcPr>
            <w:tcW w:w="12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Cash consideration</w:t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161</w:t>
            </w:r>
          </w:p>
        </w:tc>
      </w:tr>
      <w:tr>
        <w:trPr/>
        <w:tc>
          <w:tcPr>
            <w:tcW w:w="33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Less: balances acquired</w:t>
            </w:r>
          </w:p>
        </w:tc>
        <w:tc>
          <w:tcPr>
            <w:tcW w:w="12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Cash and cash equivalents</w:t>
            </w:r>
          </w:p>
        </w:tc>
        <w:tc>
          <w:tcPr>
            <w:tcW w:w="121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(2)</w:t>
            </w:r>
          </w:p>
        </w:tc>
      </w:tr>
      <w:tr>
        <w:trPr/>
        <w:tc>
          <w:tcPr>
            <w:tcW w:w="33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Net outflow of cash - investing activities</w:t>
            </w:r>
          </w:p>
        </w:tc>
        <w:tc>
          <w:tcPr>
            <w:tcW w:w="121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159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fair value of the customer relationships was determined to be US$61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with an estimated useful life of 12 years.The valuation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 customer relationships was performed using the multi-period excess earnings method.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fair value of the brands and trademarks was determined to be US$12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with an estimated useful life of 10 years. The valuation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 brands and trademarks was performed using the relief-from-royalty method under the income approach.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fair value of the internally developed software was determined to be US$6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with an estimated useful life of 7 years.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valuation of the internally developed software was performed using the replacement cost approach.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fair value of acquired other current assets related to trade and other receivables is US$1, which approximates the gross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contractual amount, as a loss allowance is insignificant.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goodwill recognized on the acquisition of Tabletkі Group represents the excess of the consideration transferred over the fair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value of the identifiable net assets acquired at the acquisition date.</w:t>
      </w:r>
    </w:p>
    <w:tbl>
      <w:tblPr>
        <w:tblW w:w="93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33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20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/>
      </w:pPr>
      <w:hyperlink w:anchor="i93c99386c4434edbac929edca4af06af_4">
        <w:r>
          <w:rPr>
            <w:rStyle w:val="InternetLink"/>
            <w:rFonts w:ascii="Arial;sans-serif" w:hAnsi="Arial;sans-serif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Notes to the interim condensed consolidated financial statements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/>
          <w:sz w:val="20"/>
          <w:u w:val="single"/>
        </w:rPr>
      </w:pPr>
      <w:r>
        <w:rPr>
          <w:rFonts w:ascii="Arial;sans-serif" w:hAnsi="Arial;sans-serif"/>
          <w:b w:val="false"/>
          <w:i/>
          <w:sz w:val="20"/>
          <w:u w:val="single"/>
        </w:rPr>
        <w:t>(in millions of U.S. dollars unless otherwise stated)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Goodwill primarily reflects the expected synergies arising from the integration of Tabletkі Group into the Group’s operations,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including enhanced market presence in the digital healthcare ecosystem, access to established customer relationships,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expansion into new digital services, and the development and deployment of new digital devices leveraging combined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technological capabilities. These benefits do not meet the criteria for separate recognition as identifiable intangible assets.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recognized goodwill is not deductible for tax purposes.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There were no transactions recognized separately from the acquisition of assets and assumption of liabilities in the business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combination.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From the date of acquisition, Tabletki Group contributed US$13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revenue and US$8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profit before tax to the Group. If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acquisition had taken place at the beginning of the period, the contribution to revenue would have been US$16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contribution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the profit before tax would have been US$10.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Acquisition-related costs of less than US$1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are included in selling, general and administrative expenses in the interim condensed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consolidated income statement, and in operating cash flows in the interim condensed consolidated statement of cash flows.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accounting for the acquisition of Tabletki Group remains provisional as the Company is continuing to finalize the valuation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certain identifiable intangible assets, primarily internally developed software. As the valuation of the internally developed software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is not yet complete, the related fair values of the customer base and residual goodwill may also change because the software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represents a contributory asset in the valuation of the customer relationships. Accordingly, the amounts recognized for internally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developed software, customer relationships and goodwill remain provisional and may be revised during the IFRS 3 measurement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period as additional information becomes available about facts and circumstances that existed as of the acquisition date.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measurement period will not exceed 12 months from the acquisition date.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During the six months ended June 30, 2026, Kyivstar recognized measurement period adjustments related to the acquisition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Tabletki Group in accordance with IFRS 3. These adjustments reflected additional information obtained after the acquisition date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about facts and circumstances that existed as of that date and comprised: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 increase in purchase consideration of US$1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following the finalization of the post-closing completion accounts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adjustment mechanism; and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 increase of US$2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the fair value of internally developed software recognized as an identifiable intangible asset.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corresponding adjustments were recognized retrospectively as if the accounting for the business combination had been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completed at the acquisition date, with a corresponding adjustment to goodwill.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Acquisition of ISP Shtorm LLC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February 26, 2026, JSC Kyivstar acquired 100%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 equity interests in ISP Shtorm LLC, a regional fixed broadband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internet service provider operating in Ukraine. This strategic acquisition supports Kyivstar’s continued expansion in the fixed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broadband segment and strengthens its position in converged telecommunications services. Kyivstar acquired 100%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ISP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Shtorm LLC for total consideration of US$10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upon the closing of the transaction. The agreement was subject to customary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closing conditions and approvals that were obtained on February 26, 2026, the date the acquisition was completed.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transaction is accounted for in accordance with IFRS 3 Business Combinations.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provisional fair values of identifiable assets and liabilities of ISP Shtorm LLC at the date of acquisition were:</w:t>
      </w:r>
    </w:p>
    <w:tbl>
      <w:tblPr>
        <w:tblW w:w="447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941"/>
        <w:gridCol w:w="1531"/>
      </w:tblGrid>
      <w:tr>
        <w:trPr/>
        <w:tc>
          <w:tcPr>
            <w:tcW w:w="2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February 26, 2026</w:t>
            </w:r>
          </w:p>
        </w:tc>
      </w:tr>
      <w:tr>
        <w:trPr/>
        <w:tc>
          <w:tcPr>
            <w:tcW w:w="294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Non-current assets</w:t>
            </w:r>
          </w:p>
        </w:tc>
        <w:tc>
          <w:tcPr>
            <w:tcW w:w="15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Intangible assets</w:t>
            </w:r>
          </w:p>
        </w:tc>
        <w:tc>
          <w:tcPr>
            <w:tcW w:w="15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</w:t>
            </w:r>
          </w:p>
        </w:tc>
      </w:tr>
      <w:tr>
        <w:trPr/>
        <w:tc>
          <w:tcPr>
            <w:tcW w:w="29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Property and equipment</w:t>
            </w:r>
          </w:p>
        </w:tc>
        <w:tc>
          <w:tcPr>
            <w:tcW w:w="15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</w:tr>
      <w:tr>
        <w:trPr/>
        <w:tc>
          <w:tcPr>
            <w:tcW w:w="29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Non-current liabilities</w:t>
            </w:r>
          </w:p>
        </w:tc>
        <w:tc>
          <w:tcPr>
            <w:tcW w:w="15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9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Deferred tax liability</w:t>
            </w:r>
          </w:p>
        </w:tc>
        <w:tc>
          <w:tcPr>
            <w:tcW w:w="153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(1)</w:t>
            </w:r>
          </w:p>
        </w:tc>
      </w:tr>
      <w:tr>
        <w:trPr/>
        <w:tc>
          <w:tcPr>
            <w:tcW w:w="29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Fair value of identifiable net assets</w:t>
            </w:r>
          </w:p>
        </w:tc>
        <w:tc>
          <w:tcPr>
            <w:tcW w:w="15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</w:t>
            </w:r>
          </w:p>
        </w:tc>
      </w:tr>
      <w:tr>
        <w:trPr/>
        <w:tc>
          <w:tcPr>
            <w:tcW w:w="29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Goodwill resulting from acquisition</w:t>
            </w:r>
          </w:p>
        </w:tc>
        <w:tc>
          <w:tcPr>
            <w:tcW w:w="153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</w:t>
            </w:r>
          </w:p>
        </w:tc>
      </w:tr>
      <w:tr>
        <w:trPr/>
        <w:tc>
          <w:tcPr>
            <w:tcW w:w="29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Purchase consideration</w:t>
            </w:r>
          </w:p>
        </w:tc>
        <w:tc>
          <w:tcPr>
            <w:tcW w:w="153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following table shows the details of cash outflow during the six-months ended June 30, 2026:</w:t>
      </w:r>
    </w:p>
    <w:tbl>
      <w:tblPr>
        <w:tblW w:w="93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33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21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/>
      </w:pPr>
      <w:hyperlink w:anchor="i93c99386c4434edbac929edca4af06af_4">
        <w:r>
          <w:rPr>
            <w:rStyle w:val="InternetLink"/>
            <w:rFonts w:ascii="Arial;sans-serif" w:hAnsi="Arial;sans-serif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Notes to the interim condensed consolidated financial statements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/>
          <w:sz w:val="20"/>
          <w:u w:val="single"/>
        </w:rPr>
      </w:pPr>
      <w:r>
        <w:rPr>
          <w:rFonts w:ascii="Arial;sans-serif" w:hAnsi="Arial;sans-serif"/>
          <w:b w:val="false"/>
          <w:i/>
          <w:sz w:val="20"/>
          <w:u w:val="single"/>
        </w:rPr>
        <w:t>(in millions of U.S. dollars unless otherwise stated)</w:t>
      </w:r>
    </w:p>
    <w:tbl>
      <w:tblPr>
        <w:tblW w:w="453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6"/>
        <w:gridCol w:w="1216"/>
      </w:tblGrid>
      <w:tr>
        <w:trPr/>
        <w:tc>
          <w:tcPr>
            <w:tcW w:w="3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June 30, 2026</w:t>
            </w:r>
          </w:p>
        </w:tc>
      </w:tr>
      <w:tr>
        <w:trPr/>
        <w:tc>
          <w:tcPr>
            <w:tcW w:w="33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Cash outflow, net of cash acquired</w:t>
            </w:r>
          </w:p>
        </w:tc>
        <w:tc>
          <w:tcPr>
            <w:tcW w:w="12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Purchase consideration</w:t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</w:t>
            </w:r>
          </w:p>
        </w:tc>
      </w:tr>
      <w:tr>
        <w:trPr/>
        <w:tc>
          <w:tcPr>
            <w:tcW w:w="33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Less: deferred consideration</w:t>
            </w:r>
          </w:p>
        </w:tc>
        <w:tc>
          <w:tcPr>
            <w:tcW w:w="121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(3)</w:t>
            </w:r>
          </w:p>
        </w:tc>
      </w:tr>
      <w:tr>
        <w:trPr/>
        <w:tc>
          <w:tcPr>
            <w:tcW w:w="33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Net outflow of cash - investing activities</w:t>
            </w:r>
          </w:p>
        </w:tc>
        <w:tc>
          <w:tcPr>
            <w:tcW w:w="121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purchase price allocation is provisional, as the Group is finalizing the valuation of certain tangible, intangible assets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deferred tax balances. The recognized amounts are provisional and may be adjusted during the measurement period 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additional information about facts and circumstances that existed at the acquisition date becomes available.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fair value of the acquired intangible assets, comprising customer relationships, was determined to be US$3. The valuation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performed using the multi-period excess earnings method. The useful life has been assessed as 6 years.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Goodwill arising on acquisition primarily relates to expected synergies from integrating the acquired business into the Group’s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operations and the assembled workforce. The goodwill is not deductible for tax purposes.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Deferred consideration of US$3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represents a fixed portion of the purchase price for the acquisition that is payable after closing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is subject only to customary post-closing purchase price adjustments. As of June 30, 2026, the related liability was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recognized in the interim condensed consolidated statement of financial position within current liabilities, based on the expected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timing of payment.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From the acquisition date to June 30, 2026, Shtorm contributed US$1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revenue. Had the acquisition occurred at the beginning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 period, the acquired business would have contributed approximately US$2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revenue. The impact on the Group’s profit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before tax for both periods was immaterial.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Acquisition of six solar power plants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May 26, 2026, JSC Kyivstar acquired 100%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of the equity interests in six solar power plant entities, consisting of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Energopostach-Plus LLC, Lightfull LLC, Sunlight Generation LLC, Ternovytsia Solar LLC, Energy Space LLC and Ternovytsia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Solar Plus LLC, for cash consideration of  US$70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paid to the seller. Prior to the acquisition, JSC Kyivstar also provided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approximately US$11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reimbursable financial assistance to the target companies to refinance existing bank indebtedness.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acquired entities own and operate six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solar power plants located in the Lviv region of Ukraine with a combined installed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generation capacity of 105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MW. The acquisition is consistent with the Group’s strategy to expand its energy generation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capabilities and enhance energy independence through investments in renewable energy infrastructure.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acquisition was accounted for in accordance with IFRS 3 Business Combinations. The allocation of the purchase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consideration to the identifiable assets acquired and liabilities assumed is provisional as of June 30, 2026. The Group is in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process of finalizing the valuation of the acquired assets and liabilities, including property, plant and equipment and any related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deferred tax balances. Any measurement period adjustments identified during the measurement period will be recognized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retrospectively in accordance with IFRS 3.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provisional fair values of identifiable assets acquired and liabilities assumed at the acquisition date were as follows:</w:t>
      </w:r>
    </w:p>
    <w:tbl>
      <w:tblPr>
        <w:tblW w:w="93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33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22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/>
      </w:pPr>
      <w:hyperlink w:anchor="i93c99386c4434edbac929edca4af06af_4">
        <w:r>
          <w:rPr>
            <w:rStyle w:val="InternetLink"/>
            <w:rFonts w:ascii="Arial;sans-serif" w:hAnsi="Arial;sans-serif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Notes to the interim condensed consolidated financial statements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/>
          <w:sz w:val="20"/>
          <w:u w:val="single"/>
        </w:rPr>
      </w:pPr>
      <w:r>
        <w:rPr>
          <w:rFonts w:ascii="Arial;sans-serif" w:hAnsi="Arial;sans-serif"/>
          <w:b w:val="false"/>
          <w:i/>
          <w:sz w:val="20"/>
          <w:u w:val="single"/>
        </w:rPr>
        <w:t>(in millions of U.S. dollars unless otherwise stated)</w:t>
      </w:r>
    </w:p>
    <w:tbl>
      <w:tblPr>
        <w:tblW w:w="40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81"/>
        <w:gridCol w:w="1141"/>
      </w:tblGrid>
      <w:tr>
        <w:trPr/>
        <w:tc>
          <w:tcPr>
            <w:tcW w:w="28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May 26, 2026</w:t>
            </w:r>
          </w:p>
        </w:tc>
      </w:tr>
      <w:tr>
        <w:trPr/>
        <w:tc>
          <w:tcPr>
            <w:tcW w:w="28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Non-current assets</w:t>
            </w:r>
          </w:p>
        </w:tc>
        <w:tc>
          <w:tcPr>
            <w:tcW w:w="114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Property and equipment</w:t>
            </w:r>
          </w:p>
        </w:tc>
        <w:tc>
          <w:tcPr>
            <w:tcW w:w="1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49</w:t>
            </w:r>
          </w:p>
        </w:tc>
      </w:tr>
      <w:tr>
        <w:trPr/>
        <w:tc>
          <w:tcPr>
            <w:tcW w:w="28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Intangible assets</w:t>
            </w:r>
          </w:p>
        </w:tc>
        <w:tc>
          <w:tcPr>
            <w:tcW w:w="1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</w:t>
            </w:r>
          </w:p>
        </w:tc>
      </w:tr>
      <w:tr>
        <w:trPr/>
        <w:tc>
          <w:tcPr>
            <w:tcW w:w="28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Deferred tax asset</w:t>
            </w:r>
          </w:p>
        </w:tc>
        <w:tc>
          <w:tcPr>
            <w:tcW w:w="1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</w:t>
            </w:r>
          </w:p>
        </w:tc>
      </w:tr>
      <w:tr>
        <w:trPr/>
        <w:tc>
          <w:tcPr>
            <w:tcW w:w="28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Current assets</w:t>
            </w:r>
          </w:p>
        </w:tc>
        <w:tc>
          <w:tcPr>
            <w:tcW w:w="1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Cash and cash equivalents </w:t>
            </w:r>
          </w:p>
        </w:tc>
        <w:tc>
          <w:tcPr>
            <w:tcW w:w="1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</w:tr>
      <w:tr>
        <w:trPr/>
        <w:tc>
          <w:tcPr>
            <w:tcW w:w="28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Trade receivables and other assets</w:t>
            </w:r>
          </w:p>
        </w:tc>
        <w:tc>
          <w:tcPr>
            <w:tcW w:w="1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</w:t>
            </w:r>
          </w:p>
        </w:tc>
      </w:tr>
      <w:tr>
        <w:trPr/>
        <w:tc>
          <w:tcPr>
            <w:tcW w:w="28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Current liabilities</w:t>
            </w:r>
          </w:p>
        </w:tc>
        <w:tc>
          <w:tcPr>
            <w:tcW w:w="1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(11)</w:t>
            </w:r>
          </w:p>
        </w:tc>
      </w:tr>
      <w:tr>
        <w:trPr/>
        <w:tc>
          <w:tcPr>
            <w:tcW w:w="28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Deferred tax liability</w:t>
            </w:r>
          </w:p>
        </w:tc>
        <w:tc>
          <w:tcPr>
            <w:tcW w:w="1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(8)</w:t>
            </w:r>
          </w:p>
        </w:tc>
      </w:tr>
      <w:tr>
        <w:trPr/>
        <w:tc>
          <w:tcPr>
            <w:tcW w:w="28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non-current liabilities</w:t>
            </w:r>
          </w:p>
        </w:tc>
        <w:tc>
          <w:tcPr>
            <w:tcW w:w="114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(1)</w:t>
            </w:r>
          </w:p>
        </w:tc>
      </w:tr>
      <w:tr>
        <w:trPr/>
        <w:tc>
          <w:tcPr>
            <w:tcW w:w="28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Fair value of identifiable net assets</w:t>
            </w:r>
          </w:p>
        </w:tc>
        <w:tc>
          <w:tcPr>
            <w:tcW w:w="114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51</w:t>
            </w:r>
          </w:p>
        </w:tc>
      </w:tr>
      <w:tr>
        <w:trPr/>
        <w:tc>
          <w:tcPr>
            <w:tcW w:w="28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Goodwill arising from acquisition</w:t>
            </w:r>
          </w:p>
        </w:tc>
        <w:tc>
          <w:tcPr>
            <w:tcW w:w="114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19</w:t>
            </w:r>
          </w:p>
        </w:tc>
      </w:tr>
      <w:tr>
        <w:trPr/>
        <w:tc>
          <w:tcPr>
            <w:tcW w:w="28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Purchase consideration</w:t>
            </w:r>
          </w:p>
        </w:tc>
        <w:tc>
          <w:tcPr>
            <w:tcW w:w="114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70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following table shows the details of cash outflow during six-month period ended June 30, 2026:</w:t>
      </w:r>
    </w:p>
    <w:tbl>
      <w:tblPr>
        <w:tblW w:w="44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6"/>
        <w:gridCol w:w="1141"/>
      </w:tblGrid>
      <w:tr>
        <w:trPr/>
        <w:tc>
          <w:tcPr>
            <w:tcW w:w="3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May 26, 2026</w:t>
            </w:r>
          </w:p>
        </w:tc>
      </w:tr>
      <w:tr>
        <w:trPr/>
        <w:tc>
          <w:tcPr>
            <w:tcW w:w="33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Cash outflow, net of cash acquired</w:t>
            </w:r>
          </w:p>
        </w:tc>
        <w:tc>
          <w:tcPr>
            <w:tcW w:w="114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Cash consideration</w:t>
            </w:r>
          </w:p>
        </w:tc>
        <w:tc>
          <w:tcPr>
            <w:tcW w:w="11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70</w:t>
            </w:r>
          </w:p>
        </w:tc>
      </w:tr>
      <w:tr>
        <w:trPr/>
        <w:tc>
          <w:tcPr>
            <w:tcW w:w="33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Less: balances acquired</w:t>
            </w:r>
          </w:p>
        </w:tc>
        <w:tc>
          <w:tcPr>
            <w:tcW w:w="11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Cash and cash equivalents</w:t>
            </w:r>
          </w:p>
        </w:tc>
        <w:tc>
          <w:tcPr>
            <w:tcW w:w="114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(2)</w:t>
            </w:r>
          </w:p>
        </w:tc>
      </w:tr>
      <w:tr>
        <w:trPr/>
        <w:tc>
          <w:tcPr>
            <w:tcW w:w="33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Net outflow of cash - investing activities</w:t>
            </w:r>
          </w:p>
        </w:tc>
        <w:tc>
          <w:tcPr>
            <w:tcW w:w="114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68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acquired property, plant and equipment primarily comprise solar power plant infrastructure, including solar modules,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inverters, transformers, structures, buildings, grid-related equipment, other fixed assets and construction in progress. Excluding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construction in progress, the depreciable acquired property, plant and equipment have an estimated weighted-average remaining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useful life of approximately 17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years. The acquired property, plant and equipment were provisionally measured at a fair value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 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US$49, representing a fair value step-up of approximately US$31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over the acquiree’s carrying amounts immediately prior to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acquisition. The valuation of the property, plant &amp; equipment was performed using the cost approach, specifically the current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replacement cost method.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 identifiable asset relating to feed-in tariff arrangements was recognized at its acquisition date fair value of US$11. The asset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recognized separately from goodwill as it arises from contractual and other legal rights existing at the acquisition date and is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expected to generate economic benefits through regulated feed-in tariff rates until the expiry of the feed-in tariff regime 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December 31, 2029. The intangible asset has an estimated useful life of approximately 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years, corresponding to the period from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acquisition date (May 26, 2026) to the expiry of the feed-in tariff arrangements on December 31, 2029. The fair value of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intangible asset was determined using an income approach, applying a with-and-without method. Under this approach, fair value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reflects the present value of the incremental cash flows attributable to the feed-in tariff arrangements.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fair value of acquired trade receivables and other assets is US$6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which approximates the gross contractual amount, as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loss allowance is insignificant.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discussed above, current liabilities include approximately US$11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of reimbursable financial assistance provided to the target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companies prior to the acquisition to refinance existing bank indebtedness. This financial assistance was accounted for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separately from the acquisition and was not included in the consideration transferred.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deferred tax asset of US$3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primarily relates to cumulative tax losses available for future utilization. The deferred tax liability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US$8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primarily arises from fair value adjustments and the recognition of identifiable assets as part of the purchase price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allocation following the acquisition.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Acquisition-related costs of US$1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are included in selling, general and administrative expenses in the interim condensed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consolidated income statement, and in operating cash flows in the interim condensed consolidated statement of cash flows.</w:t>
      </w:r>
    </w:p>
    <w:tbl>
      <w:tblPr>
        <w:tblW w:w="93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33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23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/>
      </w:pPr>
      <w:hyperlink w:anchor="i93c99386c4434edbac929edca4af06af_4">
        <w:r>
          <w:rPr>
            <w:rStyle w:val="InternetLink"/>
            <w:rFonts w:ascii="Arial;sans-serif" w:hAnsi="Arial;sans-serif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Notes to the interim condensed consolidated financial statements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/>
          <w:sz w:val="20"/>
          <w:u w:val="single"/>
        </w:rPr>
      </w:pPr>
      <w:r>
        <w:rPr>
          <w:rFonts w:ascii="Arial;sans-serif" w:hAnsi="Arial;sans-serif"/>
          <w:b w:val="false"/>
          <w:i/>
          <w:sz w:val="20"/>
          <w:u w:val="single"/>
        </w:rPr>
        <w:t>(in millions of U.S. dollars unless otherwise stated)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goodwill recognized on the acquisition of the six solar power plants represents the excess of the consideration transferred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over the fair value of the identifiable net assets acquired at the acquisition date.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Goodwill primarily reflects the expected synergies arising from the integration of the six solar power plants into the Group’s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operations, including enhanced energy security, reduced exposure to energy market price fluctuations, and operational synergies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from integrating the acquired solar plants into the Group's existing Infrastructure business operations. These benefits do not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meet the criteria for separate recognition as identifiable intangible assets.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recognized goodwill is not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deductible for tax purposes.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Other than financial assistance provided prior to acquisition (as disclosed above), there were no transactions recognized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separately from the acquisition of assets and assumption of liabilities in the business combination.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From the date of acquisition, the six solar power plants contributed US$2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revenue and US$1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profit before tax to the Group. If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acquisition had taken place at the beginning of the period, the contribution to revenue would have been US$9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contribution to the profit before tax would have been US$4.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accounting for the purchase of the six solar power plants is provisional as the valuation of property and equipment,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intangible and other assets and liabilities, and residual goodwill related to this acquisition is not complete. Additional information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is being obtained and evaluated in relation to facts and circumstances that existed as of the acquisition date, including final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asset-level valuation inputs and assumptions, the assessment of contractual arrangements and obligations, and supporting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documentation for certain assets and liabilities existing at the acquisition date. Accordingly the fair values assigned to tangible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intangible assets acquired and liabilities assumed are provisional based on management’s estimates and assumptions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may be subject to change as additional information is obtained within the measurement period (not to exceed 12 months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from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acquisition date).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Update on acquisition of SUNVIN 11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acquisition of SUNVIN 11 LLC was completed on December 15,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was disclosed in the Group's annual financial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statements for the year ended December 31,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using provisional amounts. During the six-month period ended June 30, 2026,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Group finalized the purchase price allocation within the measurement period. The updates mainly related to the recognition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identifiable intangible assets, primarily green tariff rights (US$2), the fair value of property, plant and equipment (US$2)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related deferred tax liabilities (US$(1)). As a result, goodwill decreased from US$7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US$4.  These measurement period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adjustments did not have a material impact on the Group’s profit or loss for the period or on the previously issued annual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financial statements.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Acquisition of E-wings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June 5, 2026, Uklon, a subsidiary of the Group, entered into a definitive agreement to acquire 100%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 shares of E-wings,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 Ukrainian electric scooter operator, for a purchase consideration of US$2. The acquisition is expected to enhance Uklon’s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multimodal mobility ecosystem by expanding its micromobility offering. The transaction is subject to customary closing conditions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is expected to be completed during the third quarter of 2026. As of June 30, 2026, the acquisition had not been completed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and, accordingly, no assets or liabilities related to the transaction have been recognized in these condensed consolidated interim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financial statements.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During the six-month period ended June 30, 2025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Acquisition of Uklon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March 19, 2025, JSC Kyivstar signed an agreement to acquire Uklon Group, a leading Ukrainian ride-hailing and delivery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platform. This strategic acquisition marks Kyivstar’s expansion into a new area of digital consumer services in line with VEON’s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digital operator strategy. Kyivstar acquired 97%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Uklon Group shares for a total consideration of US$158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upon the closing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transaction. The agreement was subject to customary closing conditions and approvals that were obtained on April 2, 2025,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date the acquisition was completed.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fair values of identifiable assets and liabilities of Uklon at the date of acquisition were:</w:t>
      </w:r>
    </w:p>
    <w:tbl>
      <w:tblPr>
        <w:tblW w:w="93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33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24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/>
      </w:pPr>
      <w:hyperlink w:anchor="i93c99386c4434edbac929edca4af06af_4">
        <w:r>
          <w:rPr>
            <w:rStyle w:val="InternetLink"/>
            <w:rFonts w:ascii="Arial;sans-serif" w:hAnsi="Arial;sans-serif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Notes to the interim condensed consolidated financial statements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/>
          <w:sz w:val="20"/>
          <w:u w:val="single"/>
        </w:rPr>
      </w:pPr>
      <w:r>
        <w:rPr>
          <w:rFonts w:ascii="Arial;sans-serif" w:hAnsi="Arial;sans-serif"/>
          <w:b w:val="false"/>
          <w:i/>
          <w:sz w:val="20"/>
          <w:u w:val="single"/>
        </w:rPr>
        <w:t>(in millions of U.S. dollars unless otherwise stated)</w:t>
      </w:r>
    </w:p>
    <w:tbl>
      <w:tblPr>
        <w:tblW w:w="39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66"/>
        <w:gridCol w:w="1111"/>
      </w:tblGrid>
      <w:tr>
        <w:trPr/>
        <w:tc>
          <w:tcPr>
            <w:tcW w:w="2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April 2, 2025</w:t>
            </w:r>
          </w:p>
        </w:tc>
      </w:tr>
      <w:tr>
        <w:trPr/>
        <w:tc>
          <w:tcPr>
            <w:tcW w:w="28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Non-current assets</w:t>
            </w:r>
          </w:p>
        </w:tc>
        <w:tc>
          <w:tcPr>
            <w:tcW w:w="111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Intangible assets</w:t>
            </w:r>
          </w:p>
        </w:tc>
        <w:tc>
          <w:tcPr>
            <w:tcW w:w="1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58</w:t>
            </w:r>
          </w:p>
        </w:tc>
      </w:tr>
      <w:tr>
        <w:trPr/>
        <w:tc>
          <w:tcPr>
            <w:tcW w:w="28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Current assets</w:t>
            </w:r>
          </w:p>
        </w:tc>
        <w:tc>
          <w:tcPr>
            <w:tcW w:w="1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Trade and other receivables</w:t>
            </w:r>
          </w:p>
        </w:tc>
        <w:tc>
          <w:tcPr>
            <w:tcW w:w="1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</w:tr>
      <w:tr>
        <w:trPr/>
        <w:tc>
          <w:tcPr>
            <w:tcW w:w="28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Cash and cash equivalents</w:t>
            </w:r>
          </w:p>
        </w:tc>
        <w:tc>
          <w:tcPr>
            <w:tcW w:w="1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</w:t>
            </w:r>
          </w:p>
        </w:tc>
      </w:tr>
      <w:tr>
        <w:trPr/>
        <w:tc>
          <w:tcPr>
            <w:tcW w:w="28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Non-current liabilities</w:t>
            </w:r>
          </w:p>
        </w:tc>
        <w:tc>
          <w:tcPr>
            <w:tcW w:w="1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Deferred tax liability</w:t>
            </w:r>
          </w:p>
        </w:tc>
        <w:tc>
          <w:tcPr>
            <w:tcW w:w="1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(7)</w:t>
            </w:r>
          </w:p>
        </w:tc>
      </w:tr>
      <w:tr>
        <w:trPr/>
        <w:tc>
          <w:tcPr>
            <w:tcW w:w="28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Current liabilities</w:t>
            </w:r>
          </w:p>
        </w:tc>
        <w:tc>
          <w:tcPr>
            <w:tcW w:w="1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Trade and employee related payables</w:t>
            </w:r>
          </w:p>
        </w:tc>
        <w:tc>
          <w:tcPr>
            <w:tcW w:w="1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(6)</w:t>
            </w:r>
          </w:p>
        </w:tc>
      </w:tr>
      <w:tr>
        <w:trPr/>
        <w:tc>
          <w:tcPr>
            <w:tcW w:w="28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Other current liabilities</w:t>
            </w:r>
          </w:p>
        </w:tc>
        <w:tc>
          <w:tcPr>
            <w:tcW w:w="111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(10)</w:t>
            </w:r>
          </w:p>
        </w:tc>
      </w:tr>
      <w:tr>
        <w:trPr/>
        <w:tc>
          <w:tcPr>
            <w:tcW w:w="28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Fair value of identifiable net assets</w:t>
            </w:r>
          </w:p>
        </w:tc>
        <w:tc>
          <w:tcPr>
            <w:tcW w:w="1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49</w:t>
            </w:r>
          </w:p>
        </w:tc>
      </w:tr>
      <w:tr>
        <w:trPr/>
        <w:tc>
          <w:tcPr>
            <w:tcW w:w="28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Goodwill resulting from acquisition</w:t>
            </w:r>
          </w:p>
        </w:tc>
        <w:tc>
          <w:tcPr>
            <w:tcW w:w="111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109</w:t>
            </w:r>
          </w:p>
        </w:tc>
      </w:tr>
      <w:tr>
        <w:trPr/>
        <w:tc>
          <w:tcPr>
            <w:tcW w:w="28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Purchase consideration</w:t>
            </w:r>
          </w:p>
        </w:tc>
        <w:tc>
          <w:tcPr>
            <w:tcW w:w="111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158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following table shows the details of purchase consideration at the acquisition date:</w:t>
      </w:r>
    </w:p>
    <w:tbl>
      <w:tblPr>
        <w:tblW w:w="39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36"/>
        <w:gridCol w:w="1111"/>
      </w:tblGrid>
      <w:tr>
        <w:trPr/>
        <w:tc>
          <w:tcPr>
            <w:tcW w:w="28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April 2, 2025</w:t>
            </w:r>
          </w:p>
        </w:tc>
      </w:tr>
      <w:tr>
        <w:trPr/>
        <w:tc>
          <w:tcPr>
            <w:tcW w:w="28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Cash paid *</w:t>
            </w:r>
          </w:p>
        </w:tc>
        <w:tc>
          <w:tcPr>
            <w:tcW w:w="111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141</w:t>
            </w:r>
          </w:p>
        </w:tc>
      </w:tr>
      <w:tr>
        <w:trPr/>
        <w:tc>
          <w:tcPr>
            <w:tcW w:w="28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Fair value of contingent consideration</w:t>
            </w:r>
          </w:p>
        </w:tc>
        <w:tc>
          <w:tcPr>
            <w:tcW w:w="1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</w:t>
            </w:r>
          </w:p>
        </w:tc>
      </w:tr>
      <w:tr>
        <w:trPr/>
        <w:tc>
          <w:tcPr>
            <w:tcW w:w="28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Put option liability</w:t>
            </w:r>
          </w:p>
        </w:tc>
        <w:tc>
          <w:tcPr>
            <w:tcW w:w="111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</w:tr>
      <w:tr>
        <w:trPr/>
        <w:tc>
          <w:tcPr>
            <w:tcW w:w="28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Total consideration</w:t>
            </w:r>
          </w:p>
        </w:tc>
        <w:tc>
          <w:tcPr>
            <w:tcW w:w="111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158</w:t>
            </w:r>
          </w:p>
        </w:tc>
      </w:tr>
    </w:tbl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</w:rPr>
        <w:t>* Total cash consideration consisted of US$129</w:t>
      </w:r>
      <w:r>
        <w:rPr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</w:rPr>
        <w:t>for the acquisition of 97%</w:t>
      </w:r>
      <w:r>
        <w:rPr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</w:rPr>
        <w:t>of Uklon Group’s shares and a US$12</w:t>
      </w:r>
      <w:r>
        <w:rPr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</w:rPr>
        <w:t>payment to settle employee</w:t>
      </w:r>
      <w:r>
        <w:rPr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6"/>
          <w:u w:val="none"/>
          <w:effect w:val="none"/>
        </w:rPr>
        <w:t>awards.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following table shows the details of cash outflow during the six months ended June 30, 2025:</w:t>
      </w:r>
    </w:p>
    <w:tbl>
      <w:tblPr>
        <w:tblW w:w="453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6"/>
        <w:gridCol w:w="1216"/>
      </w:tblGrid>
      <w:tr>
        <w:trPr/>
        <w:tc>
          <w:tcPr>
            <w:tcW w:w="3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June 30, 2025</w:t>
            </w:r>
          </w:p>
        </w:tc>
      </w:tr>
      <w:tr>
        <w:trPr/>
        <w:tc>
          <w:tcPr>
            <w:tcW w:w="33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Cash consideration</w:t>
            </w:r>
          </w:p>
        </w:tc>
        <w:tc>
          <w:tcPr>
            <w:tcW w:w="12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146</w:t>
            </w:r>
          </w:p>
        </w:tc>
      </w:tr>
      <w:tr>
        <w:trPr/>
        <w:tc>
          <w:tcPr>
            <w:tcW w:w="33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Less: balances acquired</w:t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Cash and cash equivalents</w:t>
            </w:r>
          </w:p>
        </w:tc>
        <w:tc>
          <w:tcPr>
            <w:tcW w:w="121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(12)</w:t>
            </w:r>
          </w:p>
        </w:tc>
      </w:tr>
      <w:tr>
        <w:trPr/>
        <w:tc>
          <w:tcPr>
            <w:tcW w:w="33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Net outflow of cash - investing activities</w:t>
            </w:r>
          </w:p>
        </w:tc>
        <w:tc>
          <w:tcPr>
            <w:tcW w:w="121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134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Contingent consideration of US$12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recognized at the acquisition date at fair value with US$2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being paid subsequent to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reporting period. US$10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is payable upon fulfillment of certain conditions under the SPA. The contingent consideration was fully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settled during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no related liability remained outstanding as of December 31,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or June 30, 2026.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Employees bonuses contingent consideration liability related to the portion attributable to pre-acquisition service, recognized at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acquisition date at fair value, resulted from the replacement of share-based payment rewards with new bonuses liability that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is payable upon fulfillment of certain conditions under the SPA. During the six months ended June 30, 2026, the Group settled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liability by paying  US$4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(see </w:t>
      </w:r>
      <w:hyperlink w:anchor="i93c99386c4434edbac929edca4af06af_58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Note 8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).</w:t>
      </w:r>
    </w:p>
    <w:tbl>
      <w:tblPr>
        <w:tblW w:w="93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33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25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/>
      </w:pPr>
      <w:hyperlink w:anchor="i93c99386c4434edbac929edca4af06af_4">
        <w:r>
          <w:rPr>
            <w:rStyle w:val="InternetLink"/>
            <w:rFonts w:ascii="Arial;sans-serif" w:hAnsi="Arial;sans-serif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Notes to the interim condensed consolidated financial statements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/>
          <w:sz w:val="20"/>
          <w:u w:val="single"/>
        </w:rPr>
      </w:pPr>
      <w:r>
        <w:rPr>
          <w:rFonts w:ascii="Arial;sans-serif" w:hAnsi="Arial;sans-serif"/>
          <w:b w:val="false"/>
          <w:i/>
          <w:sz w:val="20"/>
          <w:u w:val="single"/>
        </w:rPr>
        <w:t>(in millions of U.S. dollars unless otherwise stated)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part of the agreement, Kyivstar entered into a symmetrical put and call option agreement for the remaining 3%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interest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Uklon. The put and call options may be exercised from April 2, 2028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through April 2, 2035. As a result, on the acquisition date,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Group determined that it had a present ownership interest in the remaining 3%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interest in Uklon and has accounted for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call and put option as part of the consideration transferred and therefore,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non-controlling interest was recognized. Accordingly,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option has been recorded as a financial liability at the present value of the amounts payable on exercise with subsequent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changes recognized in the interim condensed consolidated income statement.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fair value of the customer base was determined to be US$32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with an estimated useful life of 10 years. The fair value of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customer base was determined using the multi-period excess earnings method. The multi-period excess earnings approach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involves forecasting the net earnings expected to be generated by the asset, reducing them by appropriate returns 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contributory assets, and then discounting the resulting net cash flows to a present value using an appropriate discount rate.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fair value of the trademark was determined to be US$18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with an estimated useful life of 10 years. The fair value of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trademark was determined using the relief-from-royalty method under the income approach. This involves forecasting avoided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royalties, reducing them by taxes and discounting the resulting net cash flows to a present value using an appropriate discount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rate.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fair value of the developed technology intangible asset was determined to be US$8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with an estimated useful life of 3 years.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fair value of the developed technology was determined using the replacement cost approach. In the replacement cost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approach, the fair value of an asset is based on the cost of a market participant to reconstruct a substitute asset of comparable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utility, adjusted for any obsolescence.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fair value of acquired trade and other receivables is US$2, which is very close to gross contractual amount, as a loss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allowance is insignificant.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significant goodwill recognized from the acquisition of Uklon can be attributed to several factors, including Uklon's strong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brand value and established customer relationships, which enhance Kyivstar’s market position. Additionally, the integration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Uklon’s services is expected to create operational synergies, leading to cost savings and improved service offerings.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acquisition also allows for market expansion and increased subscriber growth potential, while Uklon's technological expertise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contributes to innovative capabilities. Overall, the goodwill reflects the anticipated future economic benefits arising from these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elements. The goodwill will not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 deductible for tax purposes.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There were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transactions recognized separately from the acquisition of assets and assumption of liabilities in the business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combination.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From the date of acquisition, Uklon contributed US$22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revenue and US$6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profit before tax to the Group. If the acquisition had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taken place at the beginning of the year, the contribution to revenue would have been US$41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contribution to the profit before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tax for the Group would have been US$10. These amounts have been calculated using Uklon’s results and adjusting them for: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4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differences in the accounting policies between the Group and Uklon, and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additional amortization that would have been charged on the assumption that the fair value adjustments to intangible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assets had applied from January 1, 2025, together with their consequential tax effects.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Acquisition-related costs of US$1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are included in selling, general and administrative expenses in the interim condensed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consolidated income statement, and in operating cash flows in the interim condensed consolidated statement of cash flows.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There were no further significant transactions during the six and three-month periods ended June 30, 2025, other than disclosed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above and in </w:t>
      </w:r>
      <w:hyperlink w:anchor="i93c99386c4434edbac929edca4af06af_28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Note 1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.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7772400" cy="1005840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" w:name="i-2"/>
      <w:bookmarkEnd w:id="3"/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3"/>
          <w:u w:val="none"/>
          <w:effect w:val="none"/>
        </w:rPr>
        <w:t>*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Prior period comparatives have been reclassified to conform with the current period presentation</w:t>
      </w:r>
    </w:p>
    <w:tbl>
      <w:tblPr>
        <w:tblW w:w="93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33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26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/>
      </w:pPr>
      <w:hyperlink w:anchor="i93c99386c4434edbac929edca4af06af_4">
        <w:r>
          <w:rPr>
            <w:rStyle w:val="InternetLink"/>
            <w:rFonts w:ascii="Arial;sans-serif" w:hAnsi="Arial;sans-serif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Notes to the interim condensed consolidated financial statements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/>
          <w:sz w:val="20"/>
          <w:u w:val="single"/>
        </w:rPr>
      </w:pPr>
      <w:r>
        <w:rPr>
          <w:rFonts w:ascii="Arial;sans-serif" w:hAnsi="Arial;sans-serif"/>
          <w:b w:val="false"/>
          <w:i/>
          <w:sz w:val="20"/>
          <w:u w:val="single"/>
        </w:rPr>
        <w:t>(in millions of U.S. dollars unless otherwise stated)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6PROPERTY AND EQUIPMENT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following table summarizes the movement in the net book value of property and equipment for the six-month period ended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June 30:</w:t>
      </w:r>
    </w:p>
    <w:tbl>
      <w:tblPr>
        <w:tblW w:w="360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11"/>
        <w:gridCol w:w="109"/>
        <w:gridCol w:w="406"/>
        <w:gridCol w:w="481"/>
      </w:tblGrid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48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9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Balance as of January 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849</w:t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624</w:t>
            </w:r>
          </w:p>
        </w:tc>
      </w:tr>
      <w:tr>
        <w:trPr/>
        <w:tc>
          <w:tcPr>
            <w:tcW w:w="2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Additions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120</w:t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140</w:t>
            </w:r>
          </w:p>
        </w:tc>
      </w:tr>
      <w:tr>
        <w:trPr/>
        <w:tc>
          <w:tcPr>
            <w:tcW w:w="2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Acquisitions*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53</w:t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Disposals and write off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(1)</w:t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(2)</w:t>
            </w:r>
          </w:p>
        </w:tc>
      </w:tr>
      <w:tr>
        <w:trPr/>
        <w:tc>
          <w:tcPr>
            <w:tcW w:w="2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Depreciation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(78)</w:t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(66)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Impairment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(4)</w:t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(4)</w:t>
            </w:r>
          </w:p>
        </w:tc>
      </w:tr>
      <w:tr>
        <w:trPr/>
        <w:tc>
          <w:tcPr>
            <w:tcW w:w="2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Translation adjustment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(47)</w:t>
            </w:r>
          </w:p>
        </w:tc>
        <w:tc>
          <w:tcPr>
            <w:tcW w:w="4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</w:t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Modifications and reassessments 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57</w:t>
            </w:r>
          </w:p>
        </w:tc>
        <w:tc>
          <w:tcPr>
            <w:tcW w:w="4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47</w:t>
            </w:r>
          </w:p>
        </w:tc>
      </w:tr>
      <w:tr>
        <w:trPr/>
        <w:tc>
          <w:tcPr>
            <w:tcW w:w="2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Balance as of June 30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949</w:t>
            </w:r>
          </w:p>
        </w:tc>
        <w:tc>
          <w:tcPr>
            <w:tcW w:w="48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746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*Acquisitions for six-month period 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 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of US$53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comprise property and equipment for the six solar power plants acquisition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(US$49), the SUNVIN 11 acquisition (US$2) and the ISP Shtorm LLC acquisition (US$2). Acquisitions for the six-month period ended June 30, 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of US$1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comprise property and equipment related to the Uklon acquisition. See </w:t>
      </w:r>
      <w:hyperlink w:anchor="i93c99386c4434edbac929edca4af06af_46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16"/>
            <w:u w:val="single"/>
          </w:rPr>
          <w:t>Note 5</w:t>
        </w:r>
      </w:hyperlink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for further details. </w:t>
      </w:r>
    </w:p>
    <w:tbl>
      <w:tblPr>
        <w:tblW w:w="93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33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27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/>
      </w:pPr>
      <w:hyperlink w:anchor="i93c99386c4434edbac929edca4af06af_4">
        <w:r>
          <w:rPr>
            <w:rStyle w:val="InternetLink"/>
            <w:rFonts w:ascii="Arial;sans-serif" w:hAnsi="Arial;sans-serif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Notes to the interim condensed consolidated financial statements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/>
          <w:sz w:val="20"/>
          <w:u w:val="single"/>
        </w:rPr>
      </w:pPr>
      <w:r>
        <w:rPr>
          <w:rFonts w:ascii="Arial;sans-serif" w:hAnsi="Arial;sans-serif"/>
          <w:b w:val="false"/>
          <w:i/>
          <w:sz w:val="20"/>
          <w:u w:val="single"/>
        </w:rPr>
        <w:t>(in millions of U.S. dollars unless otherwise stated)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7INTANGIBLE ASSETS AND GOODWILL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 following table summarizes the movement in the net book value of intangible assets, including goodwill for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six-month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period ended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June 30:</w:t>
      </w:r>
    </w:p>
    <w:tbl>
      <w:tblPr>
        <w:tblW w:w="36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61"/>
        <w:gridCol w:w="109"/>
        <w:gridCol w:w="466"/>
        <w:gridCol w:w="631"/>
      </w:tblGrid>
      <w:tr>
        <w:trPr/>
        <w:tc>
          <w:tcPr>
            <w:tcW w:w="24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63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2025**</w:t>
            </w:r>
          </w:p>
        </w:tc>
      </w:tr>
      <w:tr>
        <w:trPr/>
        <w:tc>
          <w:tcPr>
            <w:tcW w:w="24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Balance as of January 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491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297</w:t>
            </w:r>
          </w:p>
        </w:tc>
      </w:tr>
      <w:tr>
        <w:trPr/>
        <w:tc>
          <w:tcPr>
            <w:tcW w:w="24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Acquisitions*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199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167</w:t>
            </w:r>
          </w:p>
        </w:tc>
      </w:tr>
      <w:tr>
        <w:trPr/>
        <w:tc>
          <w:tcPr>
            <w:tcW w:w="24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Additions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47</w:t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34</w:t>
            </w:r>
          </w:p>
        </w:tc>
      </w:tr>
      <w:tr>
        <w:trPr/>
        <w:tc>
          <w:tcPr>
            <w:tcW w:w="24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Measurement period adjustment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(3)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4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Transfer and reclassification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</w:tr>
      <w:tr>
        <w:trPr/>
        <w:tc>
          <w:tcPr>
            <w:tcW w:w="24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Amortization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(44)</w:t>
            </w:r>
          </w:p>
        </w:tc>
        <w:tc>
          <w:tcPr>
            <w:tcW w:w="6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(29)</w:t>
            </w:r>
          </w:p>
        </w:tc>
      </w:tr>
      <w:tr>
        <w:trPr/>
        <w:tc>
          <w:tcPr>
            <w:tcW w:w="24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Translation adjustment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(30)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</w:t>
            </w:r>
          </w:p>
        </w:tc>
      </w:tr>
      <w:tr>
        <w:trPr/>
        <w:tc>
          <w:tcPr>
            <w:tcW w:w="24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Balance as of June 30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660</w:t>
            </w:r>
          </w:p>
        </w:tc>
        <w:tc>
          <w:tcPr>
            <w:tcW w:w="63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476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*Acquisitions for the six-month period ended June 30, 2026 of US$199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comprise goodwill (US$104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),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identifiable intangible assets for the Tabletki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Group (US$79), consisting of customer relationships, brand and trademarks, and software of US$61, US$12, and US$6, respectively; customer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relationships of US$3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(ISP Shtorm LLC); and green tariff rights of US$11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(six solar power plants) and US$2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(SUNVIN 11). Acquisitions for the six-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month period ended June 30, 2025 of US$167, comprise goodwill (US$109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),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identifiable intangible assets for Uklon, consisting of customer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 xml:space="preserve">relationships, brand and trademarks, and software of US$32, US$18, and US$8, respectively. See </w:t>
      </w:r>
      <w:hyperlink w:anchor="i93c99386c4434edbac929edca4af06af_46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16"/>
            <w:u w:val="single"/>
          </w:rPr>
          <w:t>Note 5</w:t>
        </w:r>
      </w:hyperlink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for further details.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6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**Prior period comparatives have been reclassified to conform with the current period presentation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Goodwill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Goodwill is included within the above total intangible asset movements for the six-month period ended June 30, 2026.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significant additions during the period were relating to the acquisitions as explained in </w:t>
      </w:r>
      <w:hyperlink w:anchor="i93c99386c4434edbac929edca4af06af_46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Note 5 - Significant Transactions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Goodwill arising from the acquisitions is allocated to the respective Cash Generating Unit "CGU" which are then grouped for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impairment testing. This group represents the lowest level within Kyivstar Group at which goodwill is monitored for internal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management purposes and is not larger than the Kyivstar Group's operating segment.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 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did not identify any indicators of impairment during the six-month periods ended June 30, 2026, and 2025. Based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the analysis performed,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impairment of goodwill was identified for any CGUs.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Impairment losses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Impairment expense of US$4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the six-month period ended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(2025: US$4) primarily relates to certain items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property, plant and equipment that were written down as a result of identified impairment indicators, including assets affected by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ongoing war in Ukraine.</w:t>
      </w:r>
    </w:p>
    <w:tbl>
      <w:tblPr>
        <w:tblW w:w="93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33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28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/>
      </w:pPr>
      <w:hyperlink w:anchor="i93c99386c4434edbac929edca4af06af_4">
        <w:r>
          <w:rPr>
            <w:rStyle w:val="InternetLink"/>
            <w:rFonts w:ascii="Arial;sans-serif" w:hAnsi="Arial;sans-serif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Notes to the interim condensed consolidated financial statements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/>
          <w:sz w:val="20"/>
          <w:u w:val="single"/>
        </w:rPr>
      </w:pPr>
      <w:r>
        <w:rPr>
          <w:rFonts w:ascii="Arial;sans-serif" w:hAnsi="Arial;sans-serif"/>
          <w:b w:val="false"/>
          <w:i/>
          <w:sz w:val="20"/>
          <w:u w:val="single"/>
        </w:rPr>
        <w:t>(in millions of U.S. dollars unless otherwise stated)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FINANCING ACTIVITIES OF THE GROUP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8INVESTMENTS, DEBT AND DERIVATIVES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holds the following investments and other financial assets:</w:t>
      </w:r>
    </w:p>
    <w:tbl>
      <w:tblPr>
        <w:tblW w:w="548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736"/>
        <w:gridCol w:w="109"/>
        <w:gridCol w:w="691"/>
        <w:gridCol w:w="109"/>
        <w:gridCol w:w="841"/>
      </w:tblGrid>
      <w:tr>
        <w:trPr/>
        <w:tc>
          <w:tcPr>
            <w:tcW w:w="3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In millions of U.S. dollars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June 30,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December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31, 2025</w:t>
            </w:r>
          </w:p>
        </w:tc>
      </w:tr>
      <w:tr>
        <w:trPr/>
        <w:tc>
          <w:tcPr>
            <w:tcW w:w="3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At amortized cost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Indemnity receivable from VEON Amsterdam B.V.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40</w:t>
            </w:r>
          </w:p>
        </w:tc>
      </w:tr>
      <w:tr>
        <w:trPr/>
        <w:tc>
          <w:tcPr>
            <w:tcW w:w="3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receivables from VEON Amsterdam B.V.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</w:t>
            </w:r>
          </w:p>
        </w:tc>
      </w:tr>
      <w:tr>
        <w:trPr/>
        <w:tc>
          <w:tcPr>
            <w:tcW w:w="3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Security deposits and cash collateral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119</w:t>
            </w:r>
          </w:p>
        </w:tc>
      </w:tr>
      <w:tr>
        <w:trPr/>
        <w:tc>
          <w:tcPr>
            <w:tcW w:w="3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investments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</w:tr>
      <w:tr>
        <w:trPr/>
        <w:tc>
          <w:tcPr>
            <w:tcW w:w="3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 investments and derivatives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170</w:t>
            </w:r>
          </w:p>
        </w:tc>
      </w:tr>
      <w:tr>
        <w:trPr/>
        <w:tc>
          <w:tcPr>
            <w:tcW w:w="3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Non-current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</w:tr>
      <w:tr>
        <w:trPr/>
        <w:tc>
          <w:tcPr>
            <w:tcW w:w="3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Current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159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168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Indemnity receivable from VEON Amsterdam B.V. (US$28)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represents amounts due under an indemnity agreement whereby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VEON Amsterdam B.V. has agreed to reimburse the Group for potential future payments of principal and interest on the Bonds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described below.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 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indemnity receivable from VEON Amsterdam was reduced by US$12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during the six-month period ended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following its utilization in connection with the partial settlement of April 2025 Bonds.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Security deposits and cash collateral consist of funds held in the account of a clearing company acting as an intermediary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between Kyivstar and roaming and interconnect partners, amounting to US$91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(2025: US$119).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of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other investments at amortized cost predominantly include managed funds amounting to US$40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(2025: nil)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sovereign Ukrainian bonds held by Kyivstar.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tbl>
      <w:tblPr>
        <w:tblW w:w="93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33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29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/>
      </w:pPr>
      <w:hyperlink w:anchor="i93c99386c4434edbac929edca4af06af_4">
        <w:r>
          <w:rPr>
            <w:rStyle w:val="InternetLink"/>
            <w:rFonts w:ascii="Arial;sans-serif" w:hAnsi="Arial;sans-serif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Notes to the interim condensed consolidated financial statements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/>
          <w:sz w:val="20"/>
          <w:u w:val="single"/>
        </w:rPr>
      </w:pPr>
      <w:r>
        <w:rPr>
          <w:rFonts w:ascii="Arial;sans-serif" w:hAnsi="Arial;sans-serif"/>
          <w:b w:val="false"/>
          <w:i/>
          <w:sz w:val="20"/>
          <w:u w:val="single"/>
        </w:rPr>
        <w:t>(in millions of U.S. dollars unless otherwise stated)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holds the following debt and derivative liabilities:</w:t>
      </w:r>
    </w:p>
    <w:tbl>
      <w:tblPr>
        <w:tblW w:w="50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46"/>
        <w:gridCol w:w="109"/>
        <w:gridCol w:w="691"/>
        <w:gridCol w:w="109"/>
        <w:gridCol w:w="841"/>
      </w:tblGrid>
      <w:tr>
        <w:trPr/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In millions of U.S. dollars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June 30,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December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31, 2025</w:t>
            </w:r>
          </w:p>
        </w:tc>
      </w:tr>
      <w:tr>
        <w:trPr/>
        <w:tc>
          <w:tcPr>
            <w:tcW w:w="33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At fair value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Warrants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27</w:t>
            </w:r>
          </w:p>
        </w:tc>
      </w:tr>
      <w:tr>
        <w:trPr/>
        <w:tc>
          <w:tcPr>
            <w:tcW w:w="33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 at fair value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27</w:t>
            </w:r>
          </w:p>
        </w:tc>
      </w:tr>
      <w:tr>
        <w:trPr/>
        <w:tc>
          <w:tcPr>
            <w:tcW w:w="33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At discounted redemption amount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Put option liability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</w:tr>
      <w:tr>
        <w:trPr/>
        <w:tc>
          <w:tcPr>
            <w:tcW w:w="33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 at discounted redemption amount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</w:tr>
      <w:tr>
        <w:trPr/>
        <w:tc>
          <w:tcPr>
            <w:tcW w:w="33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At amortized cost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Bonds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38</w:t>
            </w:r>
          </w:p>
        </w:tc>
      </w:tr>
      <w:tr>
        <w:trPr/>
        <w:tc>
          <w:tcPr>
            <w:tcW w:w="33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Interest accrued on Bonds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</w:tr>
      <w:tr>
        <w:trPr/>
        <w:tc>
          <w:tcPr>
            <w:tcW w:w="33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Lease liabilities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400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374</w:t>
            </w:r>
          </w:p>
        </w:tc>
      </w:tr>
      <w:tr>
        <w:trPr/>
        <w:tc>
          <w:tcPr>
            <w:tcW w:w="33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Loan Note Payable - VEON Amsterdam B.V.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57</w:t>
            </w:r>
          </w:p>
        </w:tc>
      </w:tr>
      <w:tr>
        <w:trPr/>
        <w:tc>
          <w:tcPr>
            <w:tcW w:w="33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financial liabilities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</w:t>
            </w:r>
          </w:p>
        </w:tc>
      </w:tr>
      <w:tr>
        <w:trPr/>
        <w:tc>
          <w:tcPr>
            <w:tcW w:w="33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 at amortized cost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493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487</w:t>
            </w:r>
          </w:p>
        </w:tc>
      </w:tr>
      <w:tr>
        <w:trPr/>
        <w:tc>
          <w:tcPr>
            <w:tcW w:w="33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 debt and derivatives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544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516</w:t>
            </w:r>
          </w:p>
        </w:tc>
      </w:tr>
      <w:tr>
        <w:trPr/>
        <w:tc>
          <w:tcPr>
            <w:tcW w:w="33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Non-current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355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doub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287</w:t>
            </w:r>
          </w:p>
        </w:tc>
      </w:tr>
      <w:tr>
        <w:trPr/>
        <w:tc>
          <w:tcPr>
            <w:tcW w:w="33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Current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189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229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At fair value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Financial instruments measured at fair value are classified into one of the three levels in the fair value hierarchy according to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relative reliability of the inputs used to estimate the fair values. The three levels of the fair value hierarchy are: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Level 1 – Unadjusted quoted prices in active markets for identical assets or liabilities;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Level 2 – Inputs other than quoted prices that are observable for the asset or liability either directly or indirectly;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Level 3 – Inputs that are not based on observable market data.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a quarterly basis, the Company reviews if there are any indicators for a possible transfer between fair value hierarchy levels.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This depends on how the Company is able to obtain the underlying inputs when assessing the fair valuations. During the three-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month period ended June 30, 2026, there were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transfers between Level 1, Level 2 and Level 3 fair value measurements.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of June 30, 2026, the Group had 7,666,528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Warrants outstanding (December 31, 2025: 7,666,528). Each Warrant entitles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holder to purchase one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Common Share at an exercise price of US$11.50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 share. The Warrants are exercisable from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September 14, 2025 and will expire on August 14, 2030. There were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Warrants exercised during the six-month period ended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June 30, 2026.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Warrants are accounted for as liabilities and are measured at fair value as of each reporting period. As the Warrants 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traded on an active market under the trading symbol "KYIVW", the fair value of the warrants is a Level 1 fair value measurement.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change in the fair value of the Warrants for the six-month period 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amounted to a loss of  US$22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which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has been recorded in the interim condensed consolidated income statement within other non-operating loss, net.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At discounted redemption amount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Put option liability represents Helsi put option liability amounting to US$1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(December 31, 2025: US$1) and Uklon put option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liability amounting to US$1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(December 31, 2025: US$1), both measured at the discounted redemption amount.</w:t>
      </w:r>
    </w:p>
    <w:tbl>
      <w:tblPr>
        <w:tblW w:w="93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33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30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/>
      </w:pPr>
      <w:hyperlink w:anchor="i93c99386c4434edbac929edca4af06af_4">
        <w:r>
          <w:rPr>
            <w:rStyle w:val="InternetLink"/>
            <w:rFonts w:ascii="Arial;sans-serif" w:hAnsi="Arial;sans-serif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Notes to the interim condensed consolidated financial statements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/>
          <w:sz w:val="20"/>
          <w:u w:val="single"/>
        </w:rPr>
      </w:pPr>
      <w:r>
        <w:rPr>
          <w:rFonts w:ascii="Arial;sans-serif" w:hAnsi="Arial;sans-serif"/>
          <w:b w:val="false"/>
          <w:i/>
          <w:sz w:val="20"/>
          <w:u w:val="single"/>
        </w:rPr>
        <w:t>(in millions of U.S. dollars unless otherwise stated)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At amortized cost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of June 30, 2026, Bonds represent the principal and interest amounts outstanding for April 2025 Old Notes US$14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(December 31, 2025: US$24) and June 2025 Old Notes (US$15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(RUB1,254) (December 31, 2025: US$16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(RUB1,254)) which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were not exchanged for New Notes prior to their respective maturity dates. Upon tender from Old noteholders, it is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Company’s intention to exchange the Old Notes, including accrued interest, of eligible noteholders against a cash settlement.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Eligibility is based on successful completion of a sanctions check procedure. An indemnity agreement between Kyivstar Holdings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B.V. and VEON Amsterdam B.V. is in place which is to see Kyivstar Holdings B.V. made whole for any external payments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eligible Old noteholders.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During the six-months ended June 30, 2026, Kyivstar Holdings B.V. partially settled April 2025 Old Notes in the aggregate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amount of US$11, comprising US$10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principal and less than US$1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accrued interest.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lease liabilities primarily relate to lease agreements with LLC “Ukraine Tower Company”, an entity under common control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VEON Ltd (see </w:t>
      </w:r>
      <w:hyperlink w:anchor="i93c99386c4434edbac929edca4af06af_7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Note 12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). These leases originated principally from the sale-and-leaseback transaction involving passive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telecommunications infrastructure and include subsequent lease agreements for additional network sites. The leased assets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comprise telecommunications tower infrastructure used in the Company’s mobile network operations. As of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lease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liabilities under these arrangements represented approximately 67%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(2025: 70%) of the Company’s total lease liabilities.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contractual lease term is 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years for all leased assets. Lease liabilities are discounted using incremental borrowing rates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determined at the commencement date of each lease, ranging from 15.53%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22.36%.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Other financial liabilities primarily comprise a long-term financial liability of US$11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relating to the license for the Digital Business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Support System. During the six months ended June 30, 2026, the Group settled US$4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contingent consideration relating to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acquisition of Uklon Group.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August 13, 2025, in connection with the consummation of the Business Combination Agreement, Kyivstar Group Ltd. issued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loan note payable (the “Loan Note Payable”) to VEON Amsterdam B.V. in the aggregate principal amount of $178. The Loan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Note Payable bears interest at a rate of 10%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 annum, payable at maturity on August 12, 2026,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may be prepaid in whole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or in part at any time without premium or penalty. Amounts repaid will be applied first to accrued interest and then to outstanding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principal. On September 17, 2025, repayment of US$124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made, consisting of US$122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principal and US$2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interest. 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May 28, 2026, the Company settled an additional US$9, consisting of US$5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principal and US$4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accrued interest, through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an offset against amounts receivable from VEON Amsterdam B.V. (see </w:t>
      </w:r>
      <w:hyperlink w:anchor="i93c99386c4434edbac929edca4af06af_7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Note 12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). On the same date, the loan note agreement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amended to extend the maturity date from August 12,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August 12, 2028. The remaining balance, including accrued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interest, as of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is US$53.</w:t>
      </w:r>
    </w:p>
    <w:tbl>
      <w:tblPr>
        <w:tblW w:w="93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33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31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/>
      </w:pPr>
      <w:hyperlink w:anchor="i93c99386c4434edbac929edca4af06af_4">
        <w:r>
          <w:rPr>
            <w:rStyle w:val="InternetLink"/>
            <w:rFonts w:ascii="Arial;sans-serif" w:hAnsi="Arial;sans-serif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Notes to the interim condensed consolidated financial statements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/>
          <w:sz w:val="20"/>
          <w:u w:val="single"/>
        </w:rPr>
      </w:pPr>
      <w:r>
        <w:rPr>
          <w:rFonts w:ascii="Arial;sans-serif" w:hAnsi="Arial;sans-serif"/>
          <w:b w:val="false"/>
          <w:i/>
          <w:sz w:val="20"/>
          <w:u w:val="single"/>
        </w:rPr>
        <w:t>(in millions of U.S. dollars unless otherwise stated)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Significant changes in financial assets and financial liabilities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There were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significant changes in financial assets and financial liabilities during the six-month period ended June 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2025, except as disclosed above.</w:t>
      </w:r>
    </w:p>
    <w:p>
      <w:pPr>
        <w:pStyle w:val="TextBody"/>
        <w:bidi w:val="0"/>
        <w:spacing w:lineRule="atLeast" w:line="24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Financing activities during the six-month period ended June 30, 2026</w:t>
      </w:r>
      <w:r>
        <w:rPr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and 2025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During the six-month period ended June 30, 2025, Kyivstar Holdings B.V. repaid in full its 4.0%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April 2025 U.S. dollar-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denominated New Notes with a principal amount of US$472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its 6.3%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June 2025 Russian ruble-denominated New Notes with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 principal amount of US$100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(RUB7,840), on April 9, 2025 and June 18, 2025, respectively.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of June 30, 2025, April 2025 Old Notes with a principal amount of US$23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June 2025 Old Notes with a principal amount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US$15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(RUB1,200) remained outstanding as they had not been exchanged for the New Notes prior to their respective maturity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dates.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Group intends to settle the outstanding Old Notes, including accrued interest, in cash upon tender by eligible noteholders,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subject to the successful completion of applicable sanctions checks. Kyivstar Holdings B.V. is indemnified by VEON Amsterdam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B. V. for external payments made to eligible noteholders under the related indemnity agreement.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9CASH AND CASH EQUIVALENTS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Cash and cash equivalents consisted of the following items:</w:t>
      </w:r>
    </w:p>
    <w:tbl>
      <w:tblPr>
        <w:tblW w:w="1016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416"/>
        <w:gridCol w:w="109"/>
        <w:gridCol w:w="691"/>
        <w:gridCol w:w="109"/>
        <w:gridCol w:w="841"/>
      </w:tblGrid>
      <w:tr>
        <w:trPr/>
        <w:tc>
          <w:tcPr>
            <w:tcW w:w="84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                                                                                  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June 30,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December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31, 2025</w:t>
            </w:r>
          </w:p>
        </w:tc>
      </w:tr>
      <w:tr>
        <w:trPr/>
        <w:tc>
          <w:tcPr>
            <w:tcW w:w="84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Cash and cash equivalents at banks and on hand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222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247</w:t>
            </w:r>
          </w:p>
        </w:tc>
      </w:tr>
      <w:tr>
        <w:trPr/>
        <w:tc>
          <w:tcPr>
            <w:tcW w:w="84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Short-term deposits and money market funds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142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208</w:t>
            </w:r>
          </w:p>
        </w:tc>
      </w:tr>
      <w:tr>
        <w:trPr/>
        <w:tc>
          <w:tcPr>
            <w:tcW w:w="84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Cash and cash equivalents, as presented in the interim condensed consolidated statement of cash flows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364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455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of June 30, 2026, US$323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(2025: US$415) of cash and cash equivalents at the level of Ukraine was subject to currency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restrictions that limit the Company's ability to upstream the cash or make certain payments outside the country, but these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balances are otherwise freely available to the Ukrainian operations.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Short-term deposits and money market funds amounted to US$142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(2025: US$208), comprising of US$131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((2025: US$202)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deposits held by Kyivstar with original maturity of less than three months and US$11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(2025: US$6) investments in money market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funds.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imposition of currency exchange controls or other similar restrictions on currency convertibility in Ukraine could limit Kyivstar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Group’s ability to convert local currencies or repatriate local cash in a timely manner or at all, as well as remit dividends.</w:t>
      </w:r>
    </w:p>
    <w:tbl>
      <w:tblPr>
        <w:tblW w:w="93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33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32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/>
      </w:pPr>
      <w:hyperlink w:anchor="i93c99386c4434edbac929edca4af06af_4">
        <w:r>
          <w:rPr>
            <w:rStyle w:val="InternetLink"/>
            <w:rFonts w:ascii="Arial;sans-serif" w:hAnsi="Arial;sans-serif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Notes to the interim condensed consolidated financial statements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/>
          <w:sz w:val="20"/>
          <w:u w:val="single"/>
        </w:rPr>
      </w:pPr>
      <w:r>
        <w:rPr>
          <w:rFonts w:ascii="Arial;sans-serif" w:hAnsi="Arial;sans-serif"/>
          <w:b w:val="false"/>
          <w:i/>
          <w:sz w:val="20"/>
          <w:u w:val="single"/>
        </w:rPr>
        <w:t>(in millions of U.S. dollars unless otherwise stated)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10DIVIDENDS AND CAPITAL DISTRIBUTIONS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There were no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dividends paid or capital distributions paid during the six-month periods ended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2025.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11 ISSUED CAPITAL AND RESERVES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Company's issued share capital comprised of the following:</w:t>
      </w:r>
    </w:p>
    <w:tbl>
      <w:tblPr>
        <w:tblW w:w="835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341"/>
        <w:gridCol w:w="109"/>
        <w:gridCol w:w="1171"/>
        <w:gridCol w:w="109"/>
        <w:gridCol w:w="1621"/>
      </w:tblGrid>
      <w:tr>
        <w:trPr/>
        <w:tc>
          <w:tcPr>
            <w:tcW w:w="53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3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June 30, 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December 31, 2025</w:t>
            </w:r>
          </w:p>
        </w:tc>
      </w:tr>
      <w:tr>
        <w:trPr/>
        <w:tc>
          <w:tcPr>
            <w:tcW w:w="53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Authorized common shares (nominal value of US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$0.01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per share)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265,430,000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265,430,000</w:t>
            </w:r>
          </w:p>
        </w:tc>
      </w:tr>
      <w:tr>
        <w:trPr/>
        <w:tc>
          <w:tcPr>
            <w:tcW w:w="53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Issued shares, including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980,000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(2025: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0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) shares held by the Company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231,863,624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230,863,624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Kyivstar Group Ltd. has an authorized share capital of US$3, divided into 265,430,000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common shares of nominal value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US$0.01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(in dollars).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the six month period ended June 30,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7,666,528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warrants were excluded from the calculation of diluted earnings per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 as the impact of including them was anti-dilutive.</w:t>
      </w:r>
    </w:p>
    <w:tbl>
      <w:tblPr>
        <w:tblW w:w="93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33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33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/>
      </w:pPr>
      <w:hyperlink w:anchor="i93c99386c4434edbac929edca4af06af_4">
        <w:r>
          <w:rPr>
            <w:rStyle w:val="InternetLink"/>
            <w:rFonts w:ascii="Arial;sans-serif" w:hAnsi="Arial;sans-serif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Notes to the interim condensed consolidated financial statements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/>
          <w:sz w:val="20"/>
          <w:u w:val="single"/>
        </w:rPr>
      </w:pPr>
      <w:r>
        <w:rPr>
          <w:rFonts w:ascii="Arial;sans-serif" w:hAnsi="Arial;sans-serif"/>
          <w:b w:val="false"/>
          <w:i/>
          <w:sz w:val="20"/>
          <w:u w:val="single"/>
        </w:rPr>
        <w:t>(in millions of U.S. dollars unless otherwise stated)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ADDITIONAL INFORMATION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12RELATED PARTIES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immediate parent and the ultimate controlling shareholder of the Company are VEON Amsterdam B.V. and VEON Ltd.,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respectively.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Related parties, as defined by IAS 24, are natural persons or companies that can be influenced by Kyivstar Group Ltd., that can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exert an influence on the Company or that are under the influence of another related party of the Company. Transactions with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related parties were conducted at arm’s length.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following table provides the total amount of transactions that have been entered into with related parties and their affiliates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the six-month period ended June 30:</w:t>
      </w:r>
    </w:p>
    <w:tbl>
      <w:tblPr>
        <w:tblW w:w="983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21"/>
        <w:gridCol w:w="1156"/>
        <w:gridCol w:w="856"/>
        <w:gridCol w:w="1171"/>
        <w:gridCol w:w="1156"/>
        <w:gridCol w:w="856"/>
        <w:gridCol w:w="1216"/>
      </w:tblGrid>
      <w:tr>
        <w:trPr/>
        <w:tc>
          <w:tcPr>
            <w:tcW w:w="34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3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3228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3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Ultimate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Immediate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parent</w:t>
            </w:r>
          </w:p>
        </w:tc>
        <w:tc>
          <w:tcPr>
            <w:tcW w:w="85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Entities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under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common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control</w:t>
            </w:r>
          </w:p>
        </w:tc>
        <w:tc>
          <w:tcPr>
            <w:tcW w:w="117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Key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Management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Personnel</w:t>
            </w:r>
          </w:p>
        </w:tc>
        <w:tc>
          <w:tcPr>
            <w:tcW w:w="115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Ultimate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Immediate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parent</w:t>
            </w:r>
          </w:p>
        </w:tc>
        <w:tc>
          <w:tcPr>
            <w:tcW w:w="85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Entities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under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common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control</w:t>
            </w:r>
          </w:p>
        </w:tc>
        <w:tc>
          <w:tcPr>
            <w:tcW w:w="121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Key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Management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Personnel</w:t>
            </w:r>
          </w:p>
        </w:tc>
      </w:tr>
      <w:tr>
        <w:trPr/>
        <w:tc>
          <w:tcPr>
            <w:tcW w:w="3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Cost of services, equipment and accessories</w:t>
            </w:r>
          </w:p>
        </w:tc>
        <w:tc>
          <w:tcPr>
            <w:tcW w:w="1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(8)</w:t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(7)</w:t>
            </w:r>
          </w:p>
        </w:tc>
        <w:tc>
          <w:tcPr>
            <w:tcW w:w="12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Selling, general and administrative expenses</w:t>
            </w:r>
          </w:p>
        </w:tc>
        <w:tc>
          <w:tcPr>
            <w:tcW w:w="1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(2)</w:t>
            </w:r>
          </w:p>
        </w:tc>
        <w:tc>
          <w:tcPr>
            <w:tcW w:w="1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(2)</w:t>
            </w:r>
          </w:p>
        </w:tc>
      </w:tr>
      <w:tr>
        <w:trPr/>
        <w:tc>
          <w:tcPr>
            <w:tcW w:w="3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Finance costs</w:t>
            </w:r>
          </w:p>
        </w:tc>
        <w:tc>
          <w:tcPr>
            <w:tcW w:w="1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(3)</w:t>
            </w:r>
          </w:p>
        </w:tc>
        <w:tc>
          <w:tcPr>
            <w:tcW w:w="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(22)</w:t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(1)</w:t>
            </w:r>
          </w:p>
        </w:tc>
        <w:tc>
          <w:tcPr>
            <w:tcW w:w="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(30)</w:t>
            </w:r>
          </w:p>
        </w:tc>
        <w:tc>
          <w:tcPr>
            <w:tcW w:w="12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Depreciation charge of right-of-use asset</w:t>
            </w:r>
          </w:p>
        </w:tc>
        <w:tc>
          <w:tcPr>
            <w:tcW w:w="1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(20)</w:t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(25)</w:t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operating income</w:t>
            </w:r>
          </w:p>
        </w:tc>
        <w:tc>
          <w:tcPr>
            <w:tcW w:w="1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  <w:tc>
          <w:tcPr>
            <w:tcW w:w="12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operating expenses</w:t>
            </w:r>
          </w:p>
        </w:tc>
        <w:tc>
          <w:tcPr>
            <w:tcW w:w="1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(3)</w:t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(20)</w:t>
            </w:r>
          </w:p>
        </w:tc>
        <w:tc>
          <w:tcPr>
            <w:tcW w:w="85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Finance income</w:t>
            </w:r>
          </w:p>
        </w:tc>
        <w:tc>
          <w:tcPr>
            <w:tcW w:w="11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</w:t>
            </w:r>
          </w:p>
        </w:tc>
        <w:tc>
          <w:tcPr>
            <w:tcW w:w="85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1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</w:tc>
        <w:tc>
          <w:tcPr>
            <w:tcW w:w="11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(3)</w:t>
            </w:r>
          </w:p>
        </w:tc>
        <w:tc>
          <w:tcPr>
            <w:tcW w:w="8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(52)</w:t>
            </w:r>
          </w:p>
        </w:tc>
        <w:tc>
          <w:tcPr>
            <w:tcW w:w="117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(2)</w:t>
            </w:r>
          </w:p>
        </w:tc>
        <w:tc>
          <w:tcPr>
            <w:tcW w:w="11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(13)</w:t>
            </w:r>
          </w:p>
        </w:tc>
        <w:tc>
          <w:tcPr>
            <w:tcW w:w="85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(61)</w:t>
            </w:r>
          </w:p>
        </w:tc>
        <w:tc>
          <w:tcPr>
            <w:tcW w:w="121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(2)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following table provides the total amount of transactions that have been entered into with related parties and their affiliates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the three-month period ended June 30:</w:t>
      </w:r>
    </w:p>
    <w:tbl>
      <w:tblPr>
        <w:tblW w:w="95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21"/>
        <w:gridCol w:w="1111"/>
        <w:gridCol w:w="811"/>
        <w:gridCol w:w="1126"/>
        <w:gridCol w:w="1111"/>
        <w:gridCol w:w="811"/>
        <w:gridCol w:w="1171"/>
      </w:tblGrid>
      <w:tr>
        <w:trPr/>
        <w:tc>
          <w:tcPr>
            <w:tcW w:w="34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48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2026</w:t>
            </w:r>
          </w:p>
        </w:tc>
        <w:tc>
          <w:tcPr>
            <w:tcW w:w="3093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</w:tr>
      <w:tr>
        <w:trPr/>
        <w:tc>
          <w:tcPr>
            <w:tcW w:w="3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Ultimate and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Immediate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parent</w:t>
            </w:r>
          </w:p>
        </w:tc>
        <w:tc>
          <w:tcPr>
            <w:tcW w:w="81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Entities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under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common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control</w:t>
            </w:r>
          </w:p>
        </w:tc>
        <w:tc>
          <w:tcPr>
            <w:tcW w:w="112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Key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Management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Personnel</w:t>
            </w:r>
          </w:p>
        </w:tc>
        <w:tc>
          <w:tcPr>
            <w:tcW w:w="111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Ultimate and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Immediate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parent</w:t>
            </w:r>
          </w:p>
        </w:tc>
        <w:tc>
          <w:tcPr>
            <w:tcW w:w="81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Entities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under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common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control</w:t>
            </w:r>
          </w:p>
        </w:tc>
        <w:tc>
          <w:tcPr>
            <w:tcW w:w="117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Key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Management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Personnel</w:t>
            </w:r>
          </w:p>
        </w:tc>
      </w:tr>
      <w:tr>
        <w:trPr/>
        <w:tc>
          <w:tcPr>
            <w:tcW w:w="3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Cost of services, equipment and accessories</w:t>
            </w:r>
          </w:p>
        </w:tc>
        <w:tc>
          <w:tcPr>
            <w:tcW w:w="1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(4)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(5)</w:t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Selling, general and administrative expenses</w:t>
            </w:r>
          </w:p>
        </w:tc>
        <w:tc>
          <w:tcPr>
            <w:tcW w:w="1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(1)</w:t>
            </w:r>
          </w:p>
        </w:tc>
        <w:tc>
          <w:tcPr>
            <w:tcW w:w="1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(1)</w:t>
            </w:r>
          </w:p>
        </w:tc>
      </w:tr>
      <w:tr>
        <w:trPr/>
        <w:tc>
          <w:tcPr>
            <w:tcW w:w="3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Finance costs</w:t>
            </w:r>
          </w:p>
        </w:tc>
        <w:tc>
          <w:tcPr>
            <w:tcW w:w="1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(2)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(11)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(20)</w:t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Depreciation charge of right-of-use asset</w:t>
            </w:r>
          </w:p>
        </w:tc>
        <w:tc>
          <w:tcPr>
            <w:tcW w:w="1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(10)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(17)</w:t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operating income</w:t>
            </w:r>
          </w:p>
        </w:tc>
        <w:tc>
          <w:tcPr>
            <w:tcW w:w="1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operating expenses</w:t>
            </w:r>
          </w:p>
        </w:tc>
        <w:tc>
          <w:tcPr>
            <w:tcW w:w="1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(1)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(11)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Finance income</w:t>
            </w:r>
          </w:p>
        </w:tc>
        <w:tc>
          <w:tcPr>
            <w:tcW w:w="111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1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1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</w:t>
            </w:r>
          </w:p>
        </w:tc>
        <w:tc>
          <w:tcPr>
            <w:tcW w:w="81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</w:tc>
        <w:tc>
          <w:tcPr>
            <w:tcW w:w="111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(2)</w:t>
            </w:r>
          </w:p>
        </w:tc>
        <w:tc>
          <w:tcPr>
            <w:tcW w:w="81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(26)</w:t>
            </w:r>
          </w:p>
        </w:tc>
        <w:tc>
          <w:tcPr>
            <w:tcW w:w="1126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(1)</w:t>
            </w:r>
          </w:p>
        </w:tc>
        <w:tc>
          <w:tcPr>
            <w:tcW w:w="111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(8)</w:t>
            </w:r>
          </w:p>
        </w:tc>
        <w:tc>
          <w:tcPr>
            <w:tcW w:w="81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(41)</w:t>
            </w:r>
          </w:p>
        </w:tc>
        <w:tc>
          <w:tcPr>
            <w:tcW w:w="1171" w:type="dxa"/>
            <w:tcBorders>
              <w:top w:val="single" w:sz="8" w:space="0" w:color="000000"/>
              <w:bottom w:val="doub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(1)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following table provides the total balance of accounts with related parties and their affiliates at the end of the relevant period:</w:t>
      </w:r>
    </w:p>
    <w:tbl>
      <w:tblPr>
        <w:tblW w:w="93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33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34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/>
      </w:pPr>
      <w:hyperlink w:anchor="i93c99386c4434edbac929edca4af06af_4">
        <w:r>
          <w:rPr>
            <w:rStyle w:val="InternetLink"/>
            <w:rFonts w:ascii="Arial;sans-serif" w:hAnsi="Arial;sans-serif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Notes to the interim condensed consolidated financial statements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/>
          <w:sz w:val="20"/>
          <w:u w:val="single"/>
        </w:rPr>
      </w:pPr>
      <w:r>
        <w:rPr>
          <w:rFonts w:ascii="Arial;sans-serif" w:hAnsi="Arial;sans-serif"/>
          <w:b w:val="false"/>
          <w:i/>
          <w:sz w:val="20"/>
          <w:u w:val="single"/>
        </w:rPr>
        <w:t>(in millions of U.S. dollars unless otherwise stated)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378"/>
        <w:gridCol w:w="1475"/>
        <w:gridCol w:w="1414"/>
        <w:gridCol w:w="1475"/>
        <w:gridCol w:w="1463"/>
      </w:tblGrid>
      <w:tr>
        <w:trPr/>
        <w:tc>
          <w:tcPr>
            <w:tcW w:w="43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89" w:type="dxa"/>
            <w:gridSpan w:val="2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June 30, 2026</w:t>
            </w:r>
          </w:p>
        </w:tc>
        <w:tc>
          <w:tcPr>
            <w:tcW w:w="2938" w:type="dxa"/>
            <w:gridSpan w:val="2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December 31, 2025</w:t>
            </w:r>
          </w:p>
        </w:tc>
      </w:tr>
      <w:tr>
        <w:trPr/>
        <w:tc>
          <w:tcPr>
            <w:tcW w:w="43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Ultimate and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Immediate parent</w:t>
            </w:r>
          </w:p>
        </w:tc>
        <w:tc>
          <w:tcPr>
            <w:tcW w:w="1414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Entities under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common control</w:t>
            </w:r>
          </w:p>
        </w:tc>
        <w:tc>
          <w:tcPr>
            <w:tcW w:w="147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Ultimate and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Immediate parent</w:t>
            </w:r>
          </w:p>
        </w:tc>
        <w:tc>
          <w:tcPr>
            <w:tcW w:w="146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Entities under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common control</w:t>
            </w:r>
          </w:p>
        </w:tc>
      </w:tr>
      <w:tr>
        <w:trPr/>
        <w:tc>
          <w:tcPr>
            <w:tcW w:w="43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Right-of-use assets - LLC "Ukraine Tower Company"</w:t>
            </w:r>
          </w:p>
        </w:tc>
        <w:tc>
          <w:tcPr>
            <w:tcW w:w="147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41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228</w:t>
            </w:r>
          </w:p>
        </w:tc>
        <w:tc>
          <w:tcPr>
            <w:tcW w:w="147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4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214</w:t>
            </w:r>
          </w:p>
        </w:tc>
      </w:tr>
      <w:tr>
        <w:trPr/>
        <w:tc>
          <w:tcPr>
            <w:tcW w:w="43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Trade and other receivables - LLC “Ukraine Tower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Company”</w:t>
            </w:r>
          </w:p>
        </w:tc>
        <w:tc>
          <w:tcPr>
            <w:tcW w:w="147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41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  <w:tc>
          <w:tcPr>
            <w:tcW w:w="147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4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</w:tr>
      <w:tr>
        <w:trPr/>
        <w:tc>
          <w:tcPr>
            <w:tcW w:w="43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Indemnity receivable from VEON Amsterdam B.V.</w:t>
            </w:r>
          </w:p>
        </w:tc>
        <w:tc>
          <w:tcPr>
            <w:tcW w:w="147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28</w:t>
            </w:r>
          </w:p>
        </w:tc>
        <w:tc>
          <w:tcPr>
            <w:tcW w:w="141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47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40</w:t>
            </w:r>
          </w:p>
        </w:tc>
        <w:tc>
          <w:tcPr>
            <w:tcW w:w="14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43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receivables from VEON Amsterdam B.V.</w:t>
            </w:r>
          </w:p>
        </w:tc>
        <w:tc>
          <w:tcPr>
            <w:tcW w:w="147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41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47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</w:t>
            </w:r>
          </w:p>
        </w:tc>
        <w:tc>
          <w:tcPr>
            <w:tcW w:w="14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43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Financial assets - VEON Ltd.</w:t>
            </w:r>
          </w:p>
        </w:tc>
        <w:tc>
          <w:tcPr>
            <w:tcW w:w="147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  <w:tc>
          <w:tcPr>
            <w:tcW w:w="1414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47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  <w:tc>
          <w:tcPr>
            <w:tcW w:w="1463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43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5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29</w:t>
            </w:r>
          </w:p>
        </w:tc>
        <w:tc>
          <w:tcPr>
            <w:tcW w:w="1414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229</w:t>
            </w:r>
          </w:p>
        </w:tc>
        <w:tc>
          <w:tcPr>
            <w:tcW w:w="1475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50</w:t>
            </w:r>
          </w:p>
        </w:tc>
        <w:tc>
          <w:tcPr>
            <w:tcW w:w="1463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215</w:t>
            </w:r>
          </w:p>
        </w:tc>
      </w:tr>
      <w:tr>
        <w:trPr/>
        <w:tc>
          <w:tcPr>
            <w:tcW w:w="43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5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4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5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3" w:type="dxa"/>
            <w:tcBorders>
              <w:top w:val="doub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Trade and other payables - LLC “Ukraine Tower Company”</w:t>
            </w:r>
          </w:p>
        </w:tc>
        <w:tc>
          <w:tcPr>
            <w:tcW w:w="147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41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(8)</w:t>
            </w:r>
          </w:p>
        </w:tc>
        <w:tc>
          <w:tcPr>
            <w:tcW w:w="147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4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(8)</w:t>
            </w:r>
          </w:p>
        </w:tc>
      </w:tr>
      <w:tr>
        <w:trPr/>
        <w:tc>
          <w:tcPr>
            <w:tcW w:w="43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Trade and other payables - VEON Ltd.</w:t>
            </w:r>
          </w:p>
        </w:tc>
        <w:tc>
          <w:tcPr>
            <w:tcW w:w="147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(14)</w:t>
            </w:r>
          </w:p>
        </w:tc>
        <w:tc>
          <w:tcPr>
            <w:tcW w:w="141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47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(17)</w:t>
            </w:r>
          </w:p>
        </w:tc>
        <w:tc>
          <w:tcPr>
            <w:tcW w:w="14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43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Trade and other payables - VEON Group Holding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Company Ltd</w:t>
            </w:r>
          </w:p>
        </w:tc>
        <w:tc>
          <w:tcPr>
            <w:tcW w:w="147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41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(21)</w:t>
            </w:r>
          </w:p>
        </w:tc>
        <w:tc>
          <w:tcPr>
            <w:tcW w:w="147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4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(17)</w:t>
            </w:r>
          </w:p>
        </w:tc>
      </w:tr>
      <w:tr>
        <w:trPr/>
        <w:tc>
          <w:tcPr>
            <w:tcW w:w="43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Lease liabilities - LLC “Ukraine Tower Company”</w:t>
            </w:r>
          </w:p>
        </w:tc>
        <w:tc>
          <w:tcPr>
            <w:tcW w:w="147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41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(269)</w:t>
            </w:r>
          </w:p>
        </w:tc>
        <w:tc>
          <w:tcPr>
            <w:tcW w:w="147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46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(250)</w:t>
            </w:r>
          </w:p>
        </w:tc>
      </w:tr>
      <w:tr>
        <w:trPr/>
        <w:tc>
          <w:tcPr>
            <w:tcW w:w="43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Loan Note Payable - VEON Amsterdam B.V.</w:t>
            </w:r>
          </w:p>
        </w:tc>
        <w:tc>
          <w:tcPr>
            <w:tcW w:w="147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(53)</w:t>
            </w:r>
          </w:p>
        </w:tc>
        <w:tc>
          <w:tcPr>
            <w:tcW w:w="141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47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(57)</w:t>
            </w:r>
          </w:p>
        </w:tc>
        <w:tc>
          <w:tcPr>
            <w:tcW w:w="146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43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current liabilities - VEON Ltd.</w:t>
            </w:r>
          </w:p>
        </w:tc>
        <w:tc>
          <w:tcPr>
            <w:tcW w:w="147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(4)</w:t>
            </w:r>
          </w:p>
        </w:tc>
        <w:tc>
          <w:tcPr>
            <w:tcW w:w="1414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47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(12)</w:t>
            </w:r>
          </w:p>
        </w:tc>
        <w:tc>
          <w:tcPr>
            <w:tcW w:w="1463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43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5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(71)</w:t>
            </w:r>
          </w:p>
        </w:tc>
        <w:tc>
          <w:tcPr>
            <w:tcW w:w="1414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(298)</w:t>
            </w:r>
          </w:p>
        </w:tc>
        <w:tc>
          <w:tcPr>
            <w:tcW w:w="1475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(86)</w:t>
            </w:r>
          </w:p>
        </w:tc>
        <w:tc>
          <w:tcPr>
            <w:tcW w:w="1463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(275)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Lease liabilities with LLC “Ukraine Tower Company” relate to lease arrangements for telecommunications tower infrastructure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and are disclosed in </w:t>
      </w:r>
      <w:hyperlink w:anchor="i93c99386c4434edbac929edca4af06af_58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Note 8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, including information on the nature of the leases, lease terms and significant accounting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assumptions.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May 28, 2026, the Company offset US$9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amounts payable under the VEON Amsterdam B.V. loan note against amounts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receivable from VEON Amsterdam B.V. Refer to </w:t>
      </w:r>
      <w:hyperlink w:anchor="i93c99386c4434edbac929edca4af06af_58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color w:val="0000FF"/>
            <w:sz w:val="18"/>
            <w:u w:val="single"/>
          </w:rPr>
          <w:t>Note 8</w:t>
        </w:r>
      </w:hyperlink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further information.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June 10, 2026, Other current liabilities to VEON Ltd. of US$8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were settled through a financing arrangement within the Group.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settlement reduced the Group’s outstanding related-party liabilities to VEON Ltd. as of June 30, 2026.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13RISKS, COMMITMENTS, CONTINGENCIES AND UNCERTAINTIES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Other than disclosed elsewhere in these interim condensed consolidated financial statements and as disclosed in our audited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consolidated financial statements for 2025 as filed in the Form 20-F on March 16, 2026, there were no material changes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risks, commitments, contingencies and uncertainties that occurred during the six month period ended June 30, 2026.</w:t>
      </w:r>
    </w:p>
    <w:tbl>
      <w:tblPr>
        <w:tblW w:w="93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6"/>
        <w:gridCol w:w="331"/>
      </w:tblGrid>
      <w:tr>
        <w:trPr/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1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Kyivstar Group Ltd. | Unaudited interim condensed consolidated financial statements as of and for the six and three-month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 xml:space="preserve">periods ended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June 30, 2026</w:t>
            </w:r>
          </w:p>
        </w:tc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35</w:t>
            </w:r>
          </w:p>
        </w:tc>
      </w:tr>
    </w:tbl>
    <w:p>
      <w:pPr>
        <w:pStyle w:val="TextBody"/>
        <w:bidi w:val="0"/>
        <w:spacing w:lineRule="atLeast" w:line="200" w:before="0" w:after="0"/>
        <w:jc w:val="both"/>
        <w:rPr/>
      </w:pPr>
      <w:hyperlink w:anchor="i93c99386c4434edbac929edca4af06af_4">
        <w:r>
          <w:rPr>
            <w:rStyle w:val="InternetLink"/>
            <w:rFonts w:ascii="Arial;sans-serif" w:hAnsi="Arial;sans-serif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0"/>
          <w:u w:val="single"/>
        </w:rPr>
        <w:t>Notes to the interim condensed consolidated financial statements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 w:val="false"/>
          <w:i/>
          <w:sz w:val="20"/>
          <w:u w:val="single"/>
        </w:rPr>
      </w:pPr>
      <w:r>
        <w:rPr>
          <w:rFonts w:ascii="Arial;sans-serif" w:hAnsi="Arial;sans-serif"/>
          <w:b w:val="false"/>
          <w:i/>
          <w:sz w:val="20"/>
          <w:u w:val="single"/>
        </w:rPr>
        <w:t>(in millions of U.S. dollars unless otherwise stated)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  <w:shd w:fill="FFFFFF" w:val="clear"/>
        </w:rPr>
        <w:t xml:space="preserve">14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NEW STANDARDS, INTERPRETATIONS AND AMENDMENTS ADOPTED BY THE</w:t>
      </w:r>
      <w:r>
        <w:rPr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AAC16"/>
          <w:sz w:val="24"/>
          <w:u w:val="none"/>
          <w:effect w:val="none"/>
        </w:rPr>
        <w:t>GROUP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accounting policies adopted in the preparation of these interim condensed consolidated financial statements are consistent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with those followed in the preparation of the Group's audited annual consolidated financial statements as of and for the year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ended December 31, 2025.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Certain new and amended standards became effective as of January 1, 2026, which did not have a material impact on Kyivstar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Group's interim condensed consolidated financial statements. Kyivstar Group has not early adopted any standards,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interpretations or amendments that have been issued but have not yet become effective.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Dubai, July 31,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283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Kyivstar Group Ltd.</w: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Wingdings">
    <w:altName w:val="sans-serif"/>
    <w:charset w:val="02"/>
    <w:family w:val="auto"/>
    <w:pitch w:val="default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gif"/><Relationship Id="rId3" Type="http://schemas.openxmlformats.org/officeDocument/2006/relationships/image" Target="media/image2.gif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8</Pages>
  <Words>21296</Words>
  <Characters>119955</Characters>
  <CharactersWithSpaces>139265</CharactersWithSpaces>
  <Paragraphs>3260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