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31, 2026.</w:t>
      </w:r>
    </w:p>
    <w:p>
      <w:pPr>
        <w:pStyle w:val="TextBody"/>
        <w:bidi w:val="0"/>
        <w:spacing w:lineRule="auto" w:line="288" w:before="0" w:after="0"/>
        <w:jc w:val="right"/>
        <w:rPr/>
      </w:pPr>
      <w:r>
        <w:rPr>
          <w:color w:val="000000"/>
        </w:rPr>
        <w:t> </w:t>
      </w:r>
      <w:r>
        <w:rPr>
          <w:rFonts w:ascii="Times New Roman;serif" w:hAnsi="Times New Roman;serif"/>
          <w:b/>
          <w:color w:val="000000"/>
          <w:sz w:val="20"/>
        </w:rPr>
        <w:t>Registration No. 333-</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F-3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ACT OF 1933</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Kyivstar Group Ltd.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7" w:type="dxa"/>
        <w:jc w:val="left"/>
        <w:tblInd w:w="0" w:type="dxa"/>
        <w:tblLayout w:type="fixed"/>
        <w:tblCellMar>
          <w:top w:w="28" w:type="dxa"/>
          <w:left w:w="28" w:type="dxa"/>
          <w:bottom w:w="28" w:type="dxa"/>
          <w:right w:w="28" w:type="dxa"/>
        </w:tblCellMar>
      </w:tblPr>
      <w:tblGrid>
        <w:gridCol w:w="935"/>
        <w:gridCol w:w="819"/>
        <w:gridCol w:w="826"/>
        <w:gridCol w:w="109"/>
        <w:gridCol w:w="109"/>
        <w:gridCol w:w="109"/>
        <w:gridCol w:w="588"/>
        <w:gridCol w:w="588"/>
        <w:gridCol w:w="83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Number)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Kyivstar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517, Level 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Tower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Dubai International Financial Centre (DIFC)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Arab Emirates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Telephone: +971 4 433 1145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telephone number of Registrant’s principal executive offices)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Cogency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 East 42nd Street, 18th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10168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Telephone: 212-947-7200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and telephone number of agent for service)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Copies to</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 David Stewart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Jason Hyatt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Sidley Austin LLP</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70 St Mary Axe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London EC3A 8BE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+44 20 7360 3600</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date of commencement of proposed sale to the public: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From time to time after the effectiveness of this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rFonts w:ascii="Wingdings;sans-serif" w:hAnsi="Wingdings;sans-serif"/>
          <w:b w:val="false"/>
          <w:color w:val="000000"/>
          <w:sz w:val="20"/>
        </w:rPr>
        <w:t>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1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(the “Company”) is filing a single prospectus in this registration statement pursuant to Rule 429 under the Securities Act of 1933, as amended (the “Securities Act”). Pursuant to Rule 429 under the Securities Act, the prospectus included herein is a combined prospectus which relates to:</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offer and sale, from time to time, by the selling securityholders named herein of up to 192,967,440 common shares of the Company, par value $0.01 per share (the “Common Shares”);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(ii)the offer and sale, from time to time, by the selling securityholders named herein of up to 3,274,224 Common Shares which are currently registered and remain unsold under the Company’s registration statement on Form F-1 (Registration No. 333-290082) filed with the U.S. Securities and Exchange Commission (the “SEC”), which was declared effective by the SEC on December 18, 2025, as subsequently amended (the “Prior Registration Statement”);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(iii)the issuance by the Company of up to 7,666,528 Common Shares upon the exercise of the Company’s public warrants (the “Warrants”), which are currently registered and remain unsold under the Prior Registration Statement.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is being filed to convert the Prior Registration Statement into a registration statement on Form F-3. Pursuant to Rule 429 under the Securities Act, this registration statement, which is a new registration statement, also constitutes a post-effective amendment to the Prior Registration Statement, and such post-effective amendments shall hereafter become effective concurrently with the effectiveness of this registration statement and in accordance with Section 8(c) of the Securities Act.</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FF4338"/>
          <w:sz w:val="20"/>
          <w:shd w:fill="FFFFFF" w:val="clear"/>
        </w:rPr>
      </w:pPr>
      <w:r>
        <w:rPr>
          <w:rFonts w:ascii="Times New Roman;serif" w:hAnsi="Times New Roman;serif"/>
          <w:b/>
          <w:color w:val="FF4338"/>
          <w:sz w:val="20"/>
          <w:shd w:fill="FFFFFF" w:val="clear"/>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FF0000"/>
          <w:sz w:val="20"/>
          <w:shd w:fill="FFFFFF" w:val="clear"/>
        </w:rPr>
      </w:pPr>
      <w:r>
        <w:rPr>
          <w:rFonts w:ascii="Times New Roman;serif" w:hAnsi="Times New Roman;serif"/>
          <w:b/>
          <w:color w:val="FF0000"/>
          <w:sz w:val="20"/>
          <w:shd w:fill="FFFFFF" w:val="clear"/>
        </w:rPr>
        <w:t>SUBJECT TO COMPLETION, DATED AUGUST 31,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PRELIMINARY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KYIVSTAR GROUP LTD.</w:t>
      </w:r>
    </w:p>
    <w:p>
      <w:pPr>
        <w:pStyle w:val="TextBody"/>
        <w:bidi w:val="0"/>
        <w:spacing w:before="0" w:after="0"/>
        <w:jc w:val="center"/>
        <w:rPr/>
      </w:pPr>
      <w:r>
        <w:rPr/>
        <w:drawing>
          <wp:inline distT="0" distB="0" distL="0" distR="0">
            <wp:extent cx="2590800" cy="1419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90800" cy="141922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196,241,664 COMMON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7,666,528 COMMON SHARES UNDERLYING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from time to time, by VEON Amsterdam B.V. (“VEON Amsterdam”), which is the beneficial owner of a majority of the common shares, par value $0.01 per share (the “Common Shares”), of Kyivstar Group Ltd. (together with its subsidiaries, “Kyivstar,” the “Company,” “we,” “us” or “our”), and the other selling shareholders named herein or their pledgees, donees, transferees, or other successors in interest (collectively, the “Selling Securityholders”), of up to 196,241,664 Common Shares, issued to the Selling Securityholders, as described below. This prospectus also relates to the issuance, from time to time, by the Company of up to 7,666,528 Common Shares that are issuable upon exercise of our outstanding public warrants to purchase one Common Share at an exercise price of $11.50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2025, we consummated the transactions (the “Transactions”) contemplated by the Business Combination Agreement, dated as of March 18, 2025 (as amended, the “Business Combination Agreement”), by and among Kyivstar Group Ltd., Cohen Circle Acquisition Corp. I (“Cohen Circle”), VEON Amsterdam, Kyivstar Holdings B.V. (formerly VEON Holdings B.V.) (“Kyivstar Holdings”) and Varna Merger Sub Corp. (“Merger Sub”). As contemplated by the Business Combination Agreement, VEON Amsterdam sold to Kyivstar Group Ltd. all of the issued and outstanding equity of Kyivstar Holdings in exchange for newly issued Kyivstar Group Ltd. Common Shares and the Seller Loan Note (as defined herein) (the “Sale”), whereby Kyivstar Holdings became a direct, wholly owned subsidiary of Kyivstar Group Ltd., and Merger Sub was merged with and into Cohen Circle upon the terms and subject to the conditions set forth in the Business Combination Agreement and the Plan of Merger and in accordance with the Companies Act (as revised) of the Cayman Islands (the “Merger”), with Cohen Circle continuing as the surviving company of the Merger and a direct, wholly owned subsidiary of Kyivstar Group Ltd.</w:t>
      </w:r>
    </w:p>
    <w:p>
      <w:pPr>
        <w:pStyle w:val="TextBody"/>
        <w:bidi w:val="0"/>
        <w:spacing w:before="0" w:after="0"/>
        <w:ind w:left="0" w:right="0" w:firstLine="72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securities covered by this prospectus include (i) 192,967,440 Common Shares held by VEON Amsterdam, (ii) 3,218,634 Common Shares issued to the Sponsors (as defined herein) in connection with the Merger, and (iii) 55,590 Common Shares issued pursuant to the terms of the Non-Redemption Agreement (as defined herein) to certain investors holding Cohen Circle Class A ordinary shares prior to the consummation of the Business Combination in consideration of their agreement not to redeem such Cohen Circle Class A ordinary shares. In addition, this prospectus relates to the offer and sale of up to 7,666,528 Common Shares issuable by us upon exercise of 7,666,528 outstanding Warrants.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also covers any additional securities that may become issuable by reason of share splits, share dividends or similar transactions. We are registering the resale or issuance of the securities covered by this prospectus pursuant to the registration rights that we have granted to certain of our shareholders in connection with the Transactions and pursuant to the requirements of the Warrant Agreement (as defined herein).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offer all or part of the securities for resale from time to time through public or private transactions, at either prevailing market prices or at privately negotiated prices. These securities are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 In addition, because VEON Amsterdam is our controlling shareholder, VEON Amsterdam may be deemed an “underwriter” within the meaning of the Securities Act with respect to our Common Shares held by VEON Amsterdam being offered pursuant to this prospectus, and the offering may be deemed to be a primary offering by 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will not receive any proceeds from the sale of any securities by the Selling Securityholders, including any sales of securities made by VEON Amsterdam. However, we will receive up to an aggregate of $88,165,072 from the exercise of Warrants at an exercise price of $11.50 per Common Share, assuming the exercise in full for cash of all 7,666,528 of our outstanding Warrants exercisable for the 7,666,528 Common Shares issuable thereunder. The holders of the Warrants are not obligated to exercise any or all of their Warrants, and there is no assurance that they will elect to do so. We will receive the proceeds from any cash exercise of the Warrants, but not from the sale of the underlying Common Shares following exercise of such Warrants. If the price of our Common Shares is below $11.50 (the exercise price of our Warrants), holders of our Warrants will be unlikely to exercise their Warrants, resulting in little to no cash proceeds to us. We expect to use the net proceeds from the exercise of the Warrants, if any, for general corporate purposes. See “</w:t>
      </w:r>
      <w:r>
        <w:rPr>
          <w:rFonts w:ascii="Times New Roman;serif" w:hAnsi="Times New Roman;serif"/>
          <w:b w:val="false"/>
          <w:i/>
          <w:color w:val="000000"/>
          <w:sz w:val="20"/>
        </w:rPr>
        <w:t>Use of Proceeds</w:t>
      </w:r>
      <w:r>
        <w:rPr>
          <w:rFonts w:ascii="Times New Roman;serif" w:hAnsi="Times New Roman;serif"/>
          <w:b w:val="false"/>
          <w:color w:val="000000"/>
          <w:sz w:val="20"/>
        </w:rPr>
        <w:t>.” We will pay certain expenses associated with the registration of the securities covered by this prospectus, as described in the section entitled “</w:t>
      </w:r>
      <w:r>
        <w:rPr>
          <w:rFonts w:ascii="Times New Roman;serif" w:hAnsi="Times New Roman;serif"/>
          <w:b w:val="false"/>
          <w:i/>
          <w:color w:val="000000"/>
          <w:sz w:val="20"/>
        </w:rPr>
        <w:t>Plan of Distribution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Shares and Warrants are trading on The Nasdaq Stock Market LLC (“Nasdaq”). Our Common Shares are listed on the Nasdaq Global Select Market under the symbol “KYIV.” On August 28, 2026, the last reported sale price of our Common Shares as reported on Nasdaq was $13.44 per share. Our Warrants are listed on the Nasdaq Capital Market under the symbol “KYIVW.” On August 28, 2026, the last reported sale price of our Warrants as reported on Nasdaq was $5.10 per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are an “emerging growth company,” a “foreign private issuer” and a “controlled company” each as defined under the U.S. federal securities laws and, as such, may elect to comply with certain reduced public company disclosure and reporting requirements. See “</w:t>
      </w:r>
      <w:r>
        <w:rPr>
          <w:rFonts w:ascii="Times New Roman;serif" w:hAnsi="Times New Roman;serif"/>
          <w:b w:val="false"/>
          <w:i/>
          <w:color w:val="000000"/>
          <w:sz w:val="20"/>
        </w:rPr>
        <w:t>Prospectus Summary — Emerging Growth Company; Foreign Private Issuer; Controlled Company Status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Investing in our securities involves a high degree of risk. See “</w:t>
      </w:r>
      <w:r>
        <w:rPr>
          <w:rFonts w:ascii="Times New Roman;serif" w:hAnsi="Times New Roman;serif"/>
          <w:b/>
          <w:i/>
          <w:color w:val="000000"/>
          <w:sz w:val="20"/>
        </w:rPr>
        <w:t>Risk Factors</w:t>
      </w:r>
      <w:r>
        <w:rPr>
          <w:color w:val="000000"/>
        </w:rPr>
        <w:t xml:space="preserve">” </w:t>
      </w:r>
      <w:r>
        <w:rPr>
          <w:rFonts w:ascii="Times New Roman;serif" w:hAnsi="Times New Roman;serif"/>
          <w:b/>
          <w:color w:val="000000"/>
          <w:sz w:val="20"/>
        </w:rPr>
        <w:t>beginning on page 12 of this prospectus for a discussion of information that should be considered in connection with an investment in our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Neither the U.S. Securities and Exchange Commission nor any state securities commission has approved or disapproved of these securities or determined if this prospectus is truthful or complete. Any representation to the contrary is a criminal offense.</w:t>
      </w: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Prospectus dated ,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6702" w:type="dxa"/>
        <w:jc w:val="center"/>
        <w:tblInd w:w="0" w:type="dxa"/>
        <w:tblLayout w:type="fixed"/>
        <w:tblCellMar>
          <w:top w:w="28" w:type="dxa"/>
          <w:left w:w="28" w:type="dxa"/>
          <w:bottom w:w="28" w:type="dxa"/>
          <w:right w:w="28" w:type="dxa"/>
        </w:tblCellMar>
      </w:tblPr>
      <w:tblGrid>
        <w:gridCol w:w="2293"/>
        <w:gridCol w:w="2017"/>
        <w:gridCol w:w="2020"/>
        <w:gridCol w:w="109"/>
        <w:gridCol w:w="109"/>
        <w:gridCol w:w="154"/>
      </w:tblGrid>
      <w:tr>
        <w:trPr/>
        <w:tc>
          <w:tcPr>
            <w:tcW w:w="229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206">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FREQUENTLY USED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249">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PROSPECTUS SUMMARY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10">
              <w:r>
                <w:rPr>
                  <w:rStyle w:val="InternetLink"/>
                  <w:rFonts w:ascii="Times New Roman;serif" w:hAnsi="Times New Roman;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TERMS OF THE OFFERING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264">
              <w:r>
                <w:rPr>
                  <w:rStyle w:val="InternetLink"/>
                  <w:rFonts w:ascii="Times New Roman;serif" w:hAnsi="Times New Roman;serif"/>
                  <w:b w:val="false"/>
                  <w:color w:val="0000FF"/>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13">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286">
              <w:r>
                <w:rPr>
                  <w:rStyle w:val="InternetLink"/>
                  <w:rFonts w:ascii="Times New Roman;serif" w:hAnsi="Times New Roman;serif"/>
                  <w:b w:val="false"/>
                  <w:color w:val="0000FF"/>
                  <w:sz w:val="20"/>
                  <w:u w:val="single"/>
                </w:rPr>
                <w:t>15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01">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16">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COMMON SHARES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31">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WARRANTS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46">
              <w:r>
                <w:rPr>
                  <w:rStyle w:val="InternetLink"/>
                  <w:rFonts w:ascii="Times New Roman;serif" w:hAnsi="Times New Roman;serif"/>
                  <w:b w:val="false"/>
                  <w:color w:val="0000FF"/>
                  <w:sz w:val="20"/>
                  <w:u w:val="single"/>
                </w:rPr>
                <w:t>33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SECURITYHOLDERS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61">
              <w:r>
                <w:rPr>
                  <w:rStyle w:val="InternetLink"/>
                  <w:rFonts w:ascii="Times New Roman;serif" w:hAnsi="Times New Roman;serif"/>
                  <w:b w:val="false"/>
                  <w:color w:val="0000FF"/>
                  <w:sz w:val="20"/>
                  <w:u w:val="single"/>
                </w:rPr>
                <w:t>35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76">
              <w:r>
                <w:rPr>
                  <w:rStyle w:val="InternetLink"/>
                  <w:rFonts w:ascii="Times New Roman;serif" w:hAnsi="Times New Roman;serif"/>
                  <w:b w:val="false"/>
                  <w:color w:val="0000FF"/>
                  <w:sz w:val="20"/>
                  <w:u w:val="single"/>
                </w:rPr>
                <w:t>39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391">
              <w:r>
                <w:rPr>
                  <w:rStyle w:val="InternetLink"/>
                  <w:rFonts w:ascii="Times New Roman;serif" w:hAnsi="Times New Roman;serif"/>
                  <w:b w:val="false"/>
                  <w:color w:val="0000FF"/>
                  <w:sz w:val="20"/>
                  <w:u w:val="single"/>
                </w:rPr>
                <w:t>42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06">
              <w:r>
                <w:rPr>
                  <w:rStyle w:val="InternetLink"/>
                  <w:rFonts w:ascii="Times New Roman;serif" w:hAnsi="Times New Roman;serif"/>
                  <w:b w:val="false"/>
                  <w:color w:val="0000FF"/>
                  <w:sz w:val="20"/>
                  <w:u w:val="single"/>
                </w:rPr>
                <w:t>43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FOR SECURITIES ACT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21">
              <w:r>
                <w:rPr>
                  <w:rStyle w:val="InternetLink"/>
                  <w:rFonts w:ascii="Times New Roman;serif" w:hAnsi="Times New Roman;serif"/>
                  <w:b w:val="false"/>
                  <w:color w:val="0000FF"/>
                  <w:sz w:val="20"/>
                  <w:u w:val="single"/>
                </w:rPr>
                <w:t>44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ENFORCEMENT OF CIVIL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36">
              <w:r>
                <w:rPr>
                  <w:rStyle w:val="InternetLink"/>
                  <w:rFonts w:ascii="Times New Roman;serif" w:hAnsi="Times New Roman;serif"/>
                  <w:b w:val="false"/>
                  <w:color w:val="0000FF"/>
                  <w:sz w:val="20"/>
                  <w:u w:val="single"/>
                </w:rPr>
                <w:t>45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51">
              <w:r>
                <w:rPr>
                  <w:rStyle w:val="InternetLink"/>
                  <w:rFonts w:ascii="Times New Roman;serif" w:hAnsi="Times New Roman;serif"/>
                  <w:b w:val="false"/>
                  <w:color w:val="0000FF"/>
                  <w:sz w:val="20"/>
                  <w:u w:val="single"/>
                </w:rPr>
                <w:t>46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OF CERTAIN INFORMATION BY REFERENCE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66">
              <w:r>
                <w:rPr>
                  <w:rStyle w:val="InternetLink"/>
                  <w:rFonts w:ascii="Times New Roman;serif" w:hAnsi="Times New Roman;serif"/>
                  <w:b w:val="false"/>
                  <w:color w:val="0000FF"/>
                  <w:sz w:val="20"/>
                  <w:u w:val="single"/>
                </w:rPr>
                <w:t>47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1273d8e64f4fbd9f7e4cf71fccc178_481">
              <w:r>
                <w:rPr>
                  <w:rStyle w:val="InternetLink"/>
                  <w:rFonts w:ascii="Times New Roman;serif" w:hAnsi="Times New Roman;serif"/>
                  <w:b w:val="false"/>
                  <w:color w:val="0000FF"/>
                  <w:sz w:val="20"/>
                  <w:u w:val="single"/>
                </w:rPr>
                <w:t>48</w:t>
              </w:r>
            </w:hyperlink>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This prospectus is part of a registration statement on Form F-3 filed with the SEC. The Selling Securityholders named in this prospectus may, from time to time, sell the securities described in this prospectus in one or more offerings. This prospectus includes important information about us and the Common Shares issued by us, the securities being offered by the Selling Securityholders and other information you should know before investing. Any prospectus supplement or post-effective amendment to the registration statement may also add, update, or change information in this prospectus. If there is any inconsistency between the information contained in this prospectus and any prospectus supplement or post-effective amendment to the registration statement, you should rely on the information contained in that particular prospectus supplement or post-effective amendment to the registration statement. This prospectus does not contain all of the information provided in the registration statement that we filed with the SEC. You should read this prospectus together with the additional information about us described in the section below entitled “</w:t>
      </w:r>
      <w:r>
        <w:rPr>
          <w:rFonts w:ascii="Times New Roman;serif" w:hAnsi="Times New Roman;serif"/>
          <w:b w:val="false"/>
          <w:i/>
          <w:color w:val="000000"/>
          <w:sz w:val="20"/>
        </w:rPr>
        <w:t>Where You Can Find More Information</w:t>
      </w:r>
      <w:r>
        <w:rPr>
          <w:rFonts w:ascii="Times New Roman;serif" w:hAnsi="Times New Roman;serif"/>
          <w:b w:val="false"/>
          <w:color w:val="000000"/>
          <w:sz w:val="20"/>
        </w:rPr>
        <w:t>.” You should rely only on information contained or incorporated by reference in this prospectus. We have not, and the Selling Securityholders have not, authorized anyone to provide you with information or make any representation other than as contained in this prospectus, any amendment or supplement to this prospectus. The information contained in this prospectus is accurate only as of the date on the front cover of the prospectus.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serif" w:hAnsi="Times New Roman;serif"/>
          <w:b w:val="false"/>
          <w:i/>
          <w:color w:val="000000"/>
          <w:sz w:val="20"/>
        </w:rPr>
        <w:t>Plan of Distribution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does not constitute an offer to sell or the solicitation of an offer to buy any securities other than the securities described in this prospectus. The securities offered by this prospectus are being offered only in jurisdictions where the offer is permitted.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a combined prospectus pursuant to Rule 429 under the Securities Act which relates to: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offer and sale, from time to time, by the selling securityholders named herein of up to 196,241,664 Common Shares;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(ii)the issuance by the Company of 7,666,528 Common Shares to holders of the Company’s public Warrants upon their exercise.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of which this prospectus forms a part converts the Prior Registration Statement into a registration statement on Form F-3. Pursuant to Rule 429 under the Securities Act, this registration statement, which is a new registration statement, also constitutes a post-effective amendment to the Prior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stated or the context otherwise requires, all references in this prospectus to “Kyivstar Group,” the “Company,” “our Group,” “the Group,” “we,” “us” or “our” and similar pronouns, are references to the business of Kyivstar Group Ltd. and its subsidiaries, which prior to the Transactions was the business of Kyivstar Holdings B.V. and its subsidiaries. References to Kyivstar Group Ltd. are to Kyivstar Group Ltd. alone. References to “JSC Kyivstar” are to JSC Kyivstar, the joint-stock company incorporated in Ukraine and a wholly owned subsidiary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prospectus, unless otherwise specified or the context otherwise requires: “$,” “US$,” “USD” and “U.S. Dollar” each refer to the United States Dollar; and “₴” and “UAH” each refer to the Ukrainian Hryvnia.</w:t>
      </w:r>
    </w:p>
    <w:p>
      <w:pPr>
        <w:pStyle w:val="TextBody"/>
        <w:bidi w:val="0"/>
        <w:spacing w:before="0" w:after="0"/>
        <w:jc w:val="both"/>
        <w:rPr/>
      </w:pPr>
      <w:r>
        <w:rPr/>
      </w:r>
    </w:p>
    <w:p>
      <w:pPr>
        <w:pStyle w:val="TextBody"/>
        <w:bidi w:val="0"/>
        <w:spacing w:lineRule="auto" w:line="288"/>
        <w:jc w:val="both"/>
        <w:rPr>
          <w:rFonts w:ascii="Times New Roman;serif" w:hAnsi="Times New Roman;serif"/>
          <w:b/>
          <w:color w:val="000000"/>
          <w:sz w:val="20"/>
        </w:rPr>
      </w:pPr>
      <w:r>
        <w:rPr>
          <w:rFonts w:ascii="Times New Roman;serif" w:hAnsi="Times New Roman;serif"/>
          <w:b/>
          <w:color w:val="000000"/>
          <w:sz w:val="20"/>
        </w:rPr>
        <w:t xml:space="preserve">Neither we nor the Selling Securityholders have taken any action in any jurisdiction outside the United States to permit a public offering of the securities or possession or distribution of this prospectus in that jurisdiction. Persons who come into possession of this prospectus in jurisdictions outside the United States are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inform themselves about and to observe any restrictions as to an offering pursuant to and the distribution of this prospectus applicable to that jurisdiction.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and Section 21E of the Exchange Act of 1934, as amended (the “Exchange Act”), and the safe harbor provisions of the U.S. Private Securities Litigation Reform Act of 1995, that involve significant 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present or historical facts and conditions contained in this prospectus, including statements regarding our future results of operations and financial position, business strategy, plans and our objectives for future operations, are forward-looking statements. Forward-looking statements can generally be identified by the use of forward-looking terminology, including the terms “anticipates,” “believes,” “could,” “continue” “estimates,” “expects,” “intends,” “may,” “might,” “plans,” “potential,” “projects,” “seeks,” “should,” or “will” or, in each case, their negative or other variations or comparable terminology. Such forward-looking statements are based on available current market material and management’s expectations, beliefs and forecasts concerning future events impacting our business and operations. Although we believe that these estimates and forward-looking statements are based upon reasonable assumptions, they are subject to numerous risks and uncertainties and are made in light of information currently available to us. Many important factors, in addition to the factors described in this prospectus, may adversely affect our results as indicated in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lineRule="auto" w:line="288" w:before="0" w:after="0"/>
        <w:jc w:val="both"/>
        <w:rPr>
          <w:color w:val="000000"/>
        </w:rPr>
      </w:pPr>
      <w:r>
        <w:rPr>
          <w:color w:val="000000"/>
        </w:rPr>
        <w:t> </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outcome of any legislative, regulatory or judicial proceedings and their effect on our business and operations;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(ii)management of our business strategy and plans;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(iii)changes in applicable laws or regulations;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(iv)general economic conditions;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(v)factors relating to the business, operations and financial performance of the Company,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the ongoing war in Ukraine, such as its adverse impact on the economic conditions and outlook of Ukraine; physical damage to property, infrastructure and assets; the effect of sanctions and export controls on supply chain, the ability to transact with key counterparties; the resulting volatility in the Ukrainian hryvnia; our ability to operate and maintain our infrastructure; sanctions (including any reputational harm from certain of the ultimate beneficial owners of VEON Ltd.’s (“VEON”) largest shareholder, LPE Middle East Limited, being subject to sanctions) or any other considerations that could increase the risk of nationalization, its impact on liquidity and our financial condition and risks relating to our ability to continue as a going concern;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JSC Kyivstar’s ability to declare and pay dividends and restrictions on its ability to make certain payments abroad (such as investments, interest and principal payments on loans, financing of any affiliate companies or representative offices offshore) resulting from the imposition of martial law in Ukraine and/or legal restrictions in Ukraine relating to the ongoing war;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risks relating to the ongoing armed conflict between the United States, Israel and Iran in the Middle East, including escalation of conflict to the wider region and adverse impact on the economic conditions and outlook of the United Arab Emirates;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our principal asset being an interest in JSC Kyivstar, and our dependence on JSC Kyivstar for distributions, which may be restricted or prohibited;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our relationship with VEON and VEON’s ability to exert significant influence over matters requiring shareholder approval;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investing in frontier markets, which are subject to greater risks than investing in more developed markets, including political and economic instability, regulatory and legal uncertainty, social unrest and conflict;</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associated with cyber-attacks or systems and network disruptions, data protection, data breaches, or the perception of such attacks or failures, including the costs associated with such events and the reputational harm that could arise therefrom;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work stoppages and other labor matters, including mobilization;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the international economic environment, inflationary pressures, geopolitical developments and unexpected global events;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the impact of export controls, international trade regulation and customs and technology regulation on the macroeconomic environment, our operations, our ability and the ability of key third-party suppliers to procure goods, software or technology necessary to provide services to our customers;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the imposition of restrictions on procurement or use of telecommunications equipment from Chinese vendors which could result in significant operational disruptions;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legislation, regulation, taxation and currency, including costs of compliance, currency and exchange controls, currency fluctuations, and abrupt changes to laws, regulations, decrees and decisions governing the telecommunications industry and taxation, laws on foreign investment, anti-corruption and anti-terror laws, economic sanctions, import tariffs and restrictions, data privacy, anti-money laundering, antitrust, national security and lawful interception and their official interpretation by Ukrainian governmental and other regulatory bodies and courts, as well as risks relating to tax audits and evolving international tax frameworks;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that the adjudications, administrative or judicial decisions in respect of legal challenges, license and regulatory disputes, tax disputes or appeals may not result in a final resolution in our favor or that in the event of an unsuccessful defense of material litigation claims, we are unable to settle such claims;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our operations, including regulatory uncertainty regarding service offerings, licenses and approvals or consents required from governmental authorities in relation thereto, frequency allocations, constraints on spectrum capacity, access to additional bands of spectrum required to meet demand for existing products and service offerings or additional spectrum required for new products and services and new technologies, intellectual property rights protection, interconnection agreements, equipment failures, insurance limitations (including war-related exclusions) and competitive offering and pricing pressures;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our ability to grow our communications and digital service offerings, including the demands such strategy places on management, the need to obtain necessary approvals and the challenges of successfully integrating acquired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developments from competition, unforeseen or otherwise, including our ability to keep pace with technological changes and evolving industry standards;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relating to impairment of assets and potential write-downs;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associated with our status as a controlled company, emerging growth company and foreign private issuer, including increased compliance costs and reduced disclosure requirements;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associated with the market price of our Common Shares, which may be volatile or may decline regardless of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The risks outlined above and others described under the section entitled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in the documents incorporated by reference into this prospectus are not exhaustive.</w:t>
      </w:r>
      <w:r>
        <w:rPr>
          <w:color w:val="000000"/>
        </w:rPr>
        <w:t xml:space="preserve"> </w:t>
      </w:r>
      <w:r>
        <w:rPr>
          <w:rFonts w:ascii="Times New Roman;serif" w:hAnsi="Times New Roman;serif"/>
          <w:b w:val="false"/>
          <w:color w:val="000000"/>
          <w:sz w:val="20"/>
        </w:rPr>
        <w:t>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prospectus and in the documents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stated in this prospectus or the context otherwise requires: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Bermuda Companies Act” means the Companies Act 1981 (as amended) of Bermuda.</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Business Combination” means the transactions contemplated by the Business Combination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Business Combination Agreement” means the business combination agreement, dated as of March 18, 2025 by and among Kyivstar Group Ltd., Cohen Circle, VEON Amsterdam, Kyivstar Holdings and Merger Sub, as amended from time to time.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Bye-Laws” means the Kyivstar Group Ltd. Amended and Restated Bye-Laws.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Cohen Circle” or the “SPAC” means Cohen Circle Acquisition Corp. I, a Cayman Islands exempted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Cohen Circle Class A ordinary shares” means Cohen Circle Class A ordinary shares, par value $0.0001 per share.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Cohen Circle Class B ordinary shares” means Cohen Circle Class B ordinary shares, par value $0.0001 per share.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Cohen Circle Public Warrants” means the redeemable warrants of Cohen Circle sold as part of the units of Cohen Circle in the initial public offering (whether they were purchased in the initial public offering or thereafter in the open market).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Common Shares” means Kyivstar Group Ltd. common shares, par value $0.01 per share.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FTTB” means fiber-to-the-building.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Helsi” means Helsi Ukraine Limited Liability Company, a 97.99% subsidiary of the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JSC Kyivstar” means the joint-stock company incorporated in Ukraine on September 3, 1997, with its principal executive office at 53 Degtyarivska St., Kyiv 03113, Ukraine and a wholly owned subsidiary of Kyivstar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Kyivstar Holdings” means Kyivstar Holdings B.V. (formerly VEON Holdings B.V.), a private company with limited liability (besloten vennootschap met beperkte aansprakelijkheid) incorporated under Dutch law and registered with the Dutch Chamber of Commerce (Kamer van Koophandel) under number 34345993. Unless context suggests otherwise, reference to Kyivstar Holdings is a reference to VEON Holdings B.V.</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Kyivstar Group Board” or the “Board” means the board of directors of Kyivstar Group Ltd.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Kyivstar.Tech” means LLC Kyivstar.Tech, a subsidiary of the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Merger” means the merger consummated on August 14, 2025, pursuant to which Merger Sub merged with and into Cohen Circle, with Cohen Circle surviving as a direct, wholly owned subsidiary of Kyivstar Group Ltd.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Merger Sub” means Varna Merger Sub Corp., an exempted company incorporated with limited liability in the Cayman Islands with registration number 419635, which was liquidated by operation of law effective January 28,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MAU” means monthly active users.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Nasdaq” means Nasdaq Stock Market LLC.</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Non-Redeeming Shareholder” means the holder of Cohen Circle Class A ordinary shares who is a qualified institutional buyer, institutional accredited investor or other accredited investor, and who entered into a Non-Redemption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Non-Redemption Agreement” means each of the non-redemption agreements, by and among Cohen Circle, Kyivstar Group Ltd. and the Non-Redeeming Shareholder party thereto, pursuant to which any such Non-Redeeming Shareholder agreed to refrain from exercising its redemption rights with respect to certain Cohen Circle Class A ordinary shares held by it.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Sale” means the sale by VEON Amsterdam to Kyivstar Group Ltd. of all of the issued and outstanding equity of Kyivstar Holdings in exchange for newly issued Kyivstar Group Ltd. Common Shares and the Seller Loan Note.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SEC” means the U.S. Securities and Exchange Commission.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Seller Loan Note” means the promissory note issued to VEON Amsterdam by Kyivstar Group Ltd. in a principal amount of US$178 million as partial consideration for the sale of the issued and outstanding equity in Kyivstar Holdings in exchange for newly issued Common Shares.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Sponsor Agreement” means the Sponsor Agreement, dated as of March 18, 2025, by and among Cohen Circle, Cohen Circle Sponsor I, LLC, Cohen Circle Advisors I, LLC, Cantor Fitzgerald &amp; Co. and Kyivstar Group Ltd.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Sponsors” means Cohen Circle Sponsor I, LLC and Cohen Circle Advisors I, LLC.</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Transactions” means the series of transactions contemplated by the Business Combination Agreement, including, among other things, the Sale and the Merger.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Uklon” means LLC Tech Uklon (UA), LLC Uklon Corporate (UA) and Uklon LTD (CY), all subsidiaries of the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VEON” means VEON Ltd., the ultimate parent company of Kyivstar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VEON Amsterdam” means VEON Amsterdam B.V., a private company with limited liability (besloten vennootschap met beperkte aansprakelijkheid) incorporated under Dutch law and registered with the Dutch Chamber of Commerce (Kamer van Koophandel) under number 34378904, and a subsidiary of VEON.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Warrants” means the Kyivstar Group Ltd. warrants, issued on August 14, 2025, with each whole warrant entitling the holder thereof to purchase one Common Share at a price of $11.50 per share pursuant to the Warrant Agreement. </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Warrant Agreement” means the Assignment and Assumption and Amendment and Restatement of Warrant Agreement, dated as of August 14, 2025, governing the Warrants.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bdr w:val="single" w:sz="4" w:space="48" w:color="000000"/>
        </w:rPr>
      </w:pPr>
      <w:r>
        <w:rPr>
          <w:rFonts w:ascii="Times New Roman;serif" w:hAnsi="Times New Roman;serif"/>
          <w:b w:val="false"/>
          <w:i/>
          <w:color w:val="000000"/>
          <w:sz w:val="20"/>
          <w:bdr w:val="single" w:sz="4" w:space="48" w:color="000000"/>
        </w:rPr>
        <w:t>This summary highlights selected information contained elsewhere in this prospectus and in the documents incorporated by reference in this prospectus and does not contain all of the information you should consider when making your investment decision. Before investing in our securities, you should carefully read this entire prospectus, including our financial statements and the related notes incorporated by reference in this prospectus and the information set forth under the headings “Risk Factors,” “Cautionary Statement Regarding Forward-Looking Statements,” and “Incorporation of Certain Information by Reference.” See also the section entitled “Where You Can Find More Information.” The definition of some of the terms used in this prospectus are set forth under the section “Frequently Used Terms.” Unless the context otherwise requires, we use the terms “Kyivstar,” “Company,” “we,” “us” and “our” in this prospectus to refer to Kyivstar Group Ltd. and its consolidated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OUR COMPANY</w:t>
      </w:r>
    </w:p>
    <w:p>
      <w:pPr>
        <w:pStyle w:val="TextBody"/>
        <w:bidi w:val="0"/>
        <w:spacing w:lineRule="auto" w:line="288" w:before="0" w:after="0"/>
        <w:jc w:val="left"/>
        <w:rPr>
          <w:color w:val="000000"/>
          <w:bdr w:val="single" w:sz="4" w:space="48" w:color="000000"/>
        </w:rPr>
      </w:pPr>
      <w:r>
        <w:rPr>
          <w:color w:val="000000"/>
          <w:bdr w:val="single" w:sz="4" w:space="48" w:color="000000"/>
        </w:rPr>
        <w:t> </w:t>
      </w:r>
    </w:p>
    <w:p>
      <w:pPr>
        <w:pStyle w:val="TextBody"/>
        <w:bidi w:val="0"/>
        <w:spacing w:lineRule="auto" w:line="288"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Company Overview</w:t>
      </w:r>
    </w:p>
    <w:p>
      <w:pPr>
        <w:pStyle w:val="TextBody"/>
        <w:bidi w:val="0"/>
        <w:spacing w:lineRule="auto" w:line="288" w:before="0" w:after="0"/>
        <w:jc w:val="left"/>
        <w:rPr>
          <w:color w:val="000000"/>
          <w:bdr w:val="single" w:sz="4" w:space="48" w:color="000000"/>
        </w:rPr>
      </w:pPr>
      <w:r>
        <w:rPr>
          <w:color w:val="000000"/>
          <w:bdr w:val="single" w:sz="4" w:space="48" w:color="000000"/>
        </w:rPr>
        <w:t> </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operate telecommunications, infrastructure and digital businesses in Ukraine and Uzbekistan, and are Ukraine’s leading provider of mobile communications by number of subscribers and broadband services as well as by number of access lines, serving more than 21.8 million mobile customers, approximately 1.3 million home internet fixed line customers and 21.4 million total digital MAU as of June 30, 2026. JSC Kyivstar provides services across a wide range of mobile and fixed line technologies, including 4G, big data, cloud solutions, cybersecurity, digital TV and more. JSC Kyivstar has been operating in Ukraine for more than 28 years. We provide services under the “Kyivstar,” “Uklon,” “Helsi” and “Tabletki” brands.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We operate one operating segment, Kyivstar, with revenue of US$1,157 million, US$919 million, and US$915 million for each of the years ended December 31, 2025, 2024 and 2023 respectively. Within our Kyivstar segment, we operate two related business lines: telecommunications and infrastructure services and digital, which accounted for approximately 89%, and 11% of our revenue for the year ended December 31, 2025, respectively and approximately 98% and 2% of our revenue for the year ended December 31, 2024, respectively. In our telecommunications and infrastructure services business, we provide mobile services, including voice, data, messaging and wireless internet as well as internet services, including corporate internet access, fixed-line telephone, data transmission and fixed-mobile convergence and internet-TV via FTTB network connections. In our digital services business, we provide (i) digital TV content on the Kyivstar TV platform in partnership with PLUS TV LLC, (ii) digital health services through Helsi and Tabletki, (iii) a suite of self-service options through our self-service app, MyKyivstar, (iv) big data and technology services via our technology company, Kyivstar.Tech and (v) a mobility and digital services platform through Uklon. </w:t>
      </w:r>
    </w:p>
    <w:p>
      <w:pPr>
        <w:pStyle w:val="TextBody"/>
        <w:bidi w:val="0"/>
        <w:spacing w:lineRule="auto" w:line="288" w:before="0" w:after="0"/>
        <w:jc w:val="both"/>
        <w:rPr>
          <w:color w:val="000000"/>
          <w:bdr w:val="single" w:sz="4" w:space="48" w:color="000000"/>
        </w:rPr>
      </w:pPr>
      <w:r>
        <w:rPr>
          <w:color w:val="000000"/>
          <w:bdr w:val="single" w:sz="4" w:space="48" w:color="000000"/>
        </w:rPr>
        <w:t> </w:t>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Company Information</w:t>
      </w:r>
    </w:p>
    <w:p>
      <w:pPr>
        <w:pStyle w:val="TextBody"/>
        <w:bidi w:val="0"/>
        <w:spacing w:lineRule="auto" w:line="288" w:before="0" w:after="0"/>
        <w:jc w:val="both"/>
        <w:rPr>
          <w:color w:val="000000"/>
          <w:bdr w:val="single" w:sz="4" w:space="48" w:color="000000"/>
        </w:rPr>
      </w:pPr>
      <w:r>
        <w:rPr>
          <w:color w:val="000000"/>
          <w:bdr w:val="single" w:sz="4" w:space="48" w:color="000000"/>
        </w:rPr>
        <w:t> </w:t>
      </w:r>
    </w:p>
    <w:p>
      <w:pPr>
        <w:pStyle w:val="TextBody"/>
        <w:bidi w:val="0"/>
        <w:spacing w:lineRule="auto" w:line="288"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We are part of the VEON group, a group of subsidiary companies for which VEON is the ultimate parent entity. VEON beneficially owns, indirectly, approximately 83.6% of our issued and outstanding Kyivstar Group Ltd.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Kyivstar Group Ltd. is an exempted company limited by shares under the Bermuda Companies Act and was incorporated on March 7, 2025. As of August 14, 2025, following the consummation of the Business Combination between ourselves and Cohen Circle, Kyivstar Group became the direct parent of Kyivstar Holdings B.V. (besloten vennootschap), an entity incorporated in the Netherlands, which owns and operates JSC Kyivstar. Our Common Shares and Warrants are listed on Nasdaq under the symbols “KYIV” and “KYIVW,”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Our registered office is located at 31 Victoria Street, Hamilton, HM10 Bermuda and our headquarters are located at Unit 517, Level 5, Index Tower, Dubai International Financial Centre (DIFC), United Arab Emirates. Our telephone number is +971 4 433 1145.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bdr w:val="single" w:sz="4" w:space="48" w:color="000000"/>
        </w:rPr>
      </w:pPr>
      <w:r>
        <w:rPr>
          <w:rFonts w:ascii="Times New Roman;serif" w:hAnsi="Times New Roman;serif"/>
          <w:b w:val="false"/>
          <w:color w:val="000000"/>
          <w:sz w:val="20"/>
          <w:bdr w:val="single" w:sz="4" w:space="48" w:color="000000"/>
          <w:shd w:fill="FFFFFF" w:val="clear"/>
        </w:rPr>
        <w:t>Our authorized representative in the United States is Cogency Global Inc., 122 East 42nd Street, 18th Floor, New York, NY 10168, +1(212)-947-7200.</w:t>
      </w:r>
      <w:r>
        <w:rPr>
          <w:color w:val="000000"/>
          <w:bdr w:val="single" w:sz="4" w:space="48" w:color="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Emerging Growth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If some investors find our securities less attractive as a result, there may be a less active trading market for our securities and the prices of our securities may be more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will remain an emerging growth company until the earlier of (i) the last day of the fiscal year (1) following the fifth anniversary of the consummation of the Business Combination Agreement, i.e., on or around August 14, 2030, (2) in which we have a total annual gross revenue of at least US$1.235 billion, or (3) in which we are deemed to be a large accelerated filer, which means the market value of our Common Shares that is held by non-affiliates equaled or exceeded US$700 million as of the end of that year’s second fiscal quarter, and (ii) the date on which we have issued more than US$1.0 billion in non-convertible debt securities during the prior three-year period. We expect to cease qualifying as an emerging growth company at the end of the fiscal year ending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Foreign Private Issuer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are a foreign private issuer within the meaning of the rules under the Exchange Act. As a foreign private issuer, we are permitted to follow home country corporate governance practices, instead of certain corporate governance practices required by Nasdaq for U.S. domestic issuers other than with respect to certain voting and committee requirements. The Sarbanes-Oxley Act of 2002, as well as related rules subsequently implemented by the SEC, requires foreign private issuers, including Kyivstar Group Ltd., to comply with various corporate governance practices. In addition, the Nasdaq rules provide that foreign private issuers may follow home country corporate governance standards, subject to certain exceptions and except to the extent that such exemptions would be contrary to U.S. federal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As a foreign private issuer, we intend to follow home country practice in lieu of the following Nasdaq requirements:</w:t>
      </w:r>
    </w:p>
    <w:p>
      <w:pPr>
        <w:pStyle w:val="TextBody"/>
        <w:bidi w:val="0"/>
        <w:spacing w:before="0" w:after="0"/>
        <w:jc w:val="both"/>
        <w:rPr/>
      </w:pPr>
      <w:r>
        <w:rPr/>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0"/>
        </w:rPr>
        <w:t>We do not intend to follow Nasdaq Rule 5605(b)(2), which requires that independent directors regularly meet in executive session, where only independent directors are present. The independent directors may choose to meet in executive session at their discretion.</w:t>
      </w:r>
    </w:p>
    <w:p>
      <w:pPr>
        <w:pStyle w:val="TextBody"/>
        <w:bidi w:val="0"/>
        <w:spacing w:lineRule="auto" w:line="288" w:before="240" w:after="240"/>
        <w:ind w:left="0" w:right="0" w:hanging="357"/>
        <w:jc w:val="both"/>
        <w:rPr/>
      </w:pPr>
      <w:r>
        <w:rPr>
          <w:color w:val="000000"/>
        </w:rPr>
        <w:t>•</w:t>
      </w:r>
      <w:r>
        <w:rPr>
          <w:rFonts w:ascii="Times New Roman;serif" w:hAnsi="Times New Roman;serif"/>
          <w:b w:val="false"/>
          <w:color w:val="000000"/>
          <w:sz w:val="20"/>
        </w:rPr>
        <w:t>We do not intend to follow Nasdaq Rule 5635(c), which requires shareholder approval for the establishment of or any material amendments to equity compensation or purchase plans or other equity compensation arrangements.</w:t>
      </w:r>
    </w:p>
    <w:p>
      <w:pPr>
        <w:pStyle w:val="TextBody"/>
        <w:bidi w:val="0"/>
        <w:spacing w:lineRule="auto" w:line="288" w:before="0" w:after="240"/>
        <w:ind w:left="0" w:right="0" w:hanging="357"/>
        <w:jc w:val="both"/>
        <w:rPr/>
      </w:pPr>
      <w:r>
        <w:rPr>
          <w:color w:val="000000"/>
        </w:rPr>
        <w:t>•</w:t>
      </w:r>
      <w:r>
        <w:rPr>
          <w:rFonts w:ascii="Times New Roman;serif" w:hAnsi="Times New Roman;serif"/>
          <w:b w:val="false"/>
          <w:color w:val="000000"/>
          <w:sz w:val="20"/>
        </w:rPr>
        <w:t xml:space="preserve">We do not intend to follow Nasdaq Rule 5635(d), which requires shareholder approval in order to enter into any transaction, other than a public offering, involving the sale, issuance or potential issuance by a company of common shares (or securities convertible into or exercisable for common shares) equal to 20% or more of the outstanding share capital of the company or 20% or more of the voting power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before the issuance for less than the greater of book or market value of the common shares. We will follow Bermuda law with respect to any requirement to obtain shareholder approval in connection with any private placements of equity securities.</w:t>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home country governance practices may provide less protection than is accorded to investors under Nasdaq rules applicable to domestic issuers.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intend to take all actions necessary to maintain compliance as a foreign private issuer under the applicable corporate governance requirements of the Sarbanes-Oxley Act of 2002, the rules adopted by the SEC and the Nasdaq corporate governance rules and listing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Because we are a foreign private issuer, our directors and senior management are not subject to short-swing profit rules under Section 16 of the Exchange Act. They are, however, subject to the obligations to report changes in share ownership of our securities under Section 13 and Section 16 of the Exchange Act and related SEC rules.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Controlled Company Status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As of the date of this prospectus, VEON beneficially owns, indirectly, approximately 83.6% of our issued and outstanding Common Shares. As a result of VEON’s ownership, we are a “controlled company” within the meaning of the Nasdaq corporate governance rules. Under these rules, a listed company of which a majority of the voting power is held by an individual, group or another company is a “controlled company” and may elect not to comply with certain corporate governance requirements. As a controlled company, available exemptions under the rules will mean that we are not required to comply with certain corporate governance requirements, including that (i) a majority of our Board consists of independent directors, as defined under the Nasdaq listing rules, (ii) our director nominations be made, or recommended to the full Board, by the independent directors or by a Nomination Committee that consists entirely of independent directors and (iii) we have a Remuneration Committee that consists entirely of independent directors. We do not currently intend to, but may in the future, take advantage of some or all of the foregoing exemptions. Therefore, shareholders may not have the same protections afforded to shareholders of companies that are subject to all of these corporate governance requirements. In the event that we cease to be a “controlled company” and our Common Shares continue to be listed on Nasdaq, we will continue to rely on the exemptions afforded to foreign private issuers described above. In the event that we cease to be a “controlled company” and no longer qualify as a foreign private issuer, we will be required to comply with these provisions within the applicable transition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TERMS OF THE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bdr w:val="single" w:sz="4" w:space="48" w:color="000000"/>
        </w:rPr>
      </w:pPr>
      <w:r>
        <w:rPr>
          <w:rFonts w:ascii="Times New Roman;serif" w:hAnsi="Times New Roman;serif"/>
          <w:b w:val="false"/>
          <w:i/>
          <w:color w:val="000000"/>
          <w:sz w:val="20"/>
          <w:bdr w:val="single" w:sz="4" w:space="48" w:color="000000"/>
        </w:rPr>
        <w:t>The summary below describes the principal terms of the offering. This summary is not complete and does not contain all the information you should consider before investing in our securities. The “Description of Common Shares” and “Description of Warrants” sections of this prospectus contains a more detailed description of our Common Shares and Warrants. Any investment in the securities offered hereby is speculative and involves a high degree of risk. You should carefully read this entire prospectus before investing in our securities, including the sections entitled “Risk Factors,” “Cautionary Statement Regarding Forward-Looking Statements” and “Incorporation of Certain Information by Reference” in this prospectus, and our consolidated financial statements and notes to those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3"/>
        <w:gridCol w:w="1056"/>
        <w:gridCol w:w="1060"/>
        <w:gridCol w:w="1913"/>
        <w:gridCol w:w="1913"/>
        <w:gridCol w:w="2720"/>
      </w:tblGrid>
      <w:tr>
        <w:trPr/>
        <w:tc>
          <w:tcPr>
            <w:tcW w:w="15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Resale of Common Shares</w:t>
            </w:r>
          </w:p>
        </w:tc>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offered by the Selling Securityholders</w:t>
            </w:r>
          </w:p>
        </w:tc>
        <w:tc>
          <w:tcPr>
            <w:tcW w:w="654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by the Selling Securityholders named in this prospectus, or their permitted transferees, an aggregate of up to 196,241,664 Common Shares consisting of: </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192,967,440 Common Shares held by VEON Amsterdam; and</w:t>
            </w:r>
          </w:p>
          <w:p>
            <w:pPr>
              <w:pStyle w:val="TableContents"/>
              <w:bidi w:val="0"/>
              <w:spacing w:lineRule="auto" w:line="288" w:before="0" w:after="240"/>
              <w:ind w:left="0" w:right="0" w:hanging="360"/>
              <w:jc w:val="left"/>
              <w:rPr/>
            </w:pPr>
            <w:r>
              <w:rPr>
                <w:color w:val="000000"/>
              </w:rPr>
              <w:t>•</w:t>
            </w:r>
            <w:r>
              <w:rPr>
                <w:rFonts w:ascii="Times New Roman;serif" w:hAnsi="Times New Roman;serif"/>
                <w:b w:val="false"/>
                <w:color w:val="000000"/>
                <w:sz w:val="20"/>
              </w:rPr>
              <w:t>up to 3,274,224 Common Shares held by the other Selling Securityholders which are currently registered and remain unsold under the Company’s Prior Registration Statement.</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of Common Shares Upon Exercise of Warrants</w:t>
            </w:r>
          </w:p>
        </w:tc>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exercise of Warrants</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7,666,528 Common Shares, issuable upon exercise of 7,666,528 Warrants.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w:t>
            </w:r>
          </w:p>
        </w:tc>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and outstanding</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231,863,624</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Shares outstanding and on a fully diluted basis assuming the exercise of all outstanding warrants </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239,530,152</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w:t>
            </w:r>
          </w:p>
        </w:tc>
        <w:tc>
          <w:tcPr>
            <w:tcW w:w="6546"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The Warrants are redeemable in certain circumstances. See “</w:t>
            </w:r>
            <w:r>
              <w:rPr>
                <w:rFonts w:ascii="Times New Roman;serif" w:hAnsi="Times New Roman;serif"/>
                <w:b w:val="false"/>
                <w:i/>
                <w:color w:val="000000"/>
                <w:sz w:val="20"/>
              </w:rPr>
              <w:t>Description of Warrants</w:t>
            </w:r>
            <w:r>
              <w:rPr>
                <w:rFonts w:ascii="Times New Roman;serif" w:hAnsi="Times New Roman;serif"/>
                <w:b w:val="false"/>
                <w:color w:val="000000"/>
                <w:sz w:val="20"/>
              </w:rPr>
              <w:t>.”</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Terms of the offering </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will determine when and how they will dispose of the securities registered for resale under this prospectus.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654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of the Common Shares offered by the Selling Securityholders pursuant to this prospectus will be sold by the Selling Securityholders for their respective accounts. We will not receive any of the proceeds from these sales.</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will receive up to an aggregate of $88,165,072 from the exercise of Warrants, assuming the exercise of all 7,666,528 of our outstanding Warrants for cash at an exercise price of $11.50 per Common Share.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03"/>
        <w:gridCol w:w="354"/>
        <w:gridCol w:w="356"/>
        <w:gridCol w:w="2779"/>
        <w:gridCol w:w="2609"/>
        <w:gridCol w:w="3704"/>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policy</w:t>
            </w:r>
          </w:p>
        </w:tc>
        <w:tc>
          <w:tcPr>
            <w:tcW w:w="9092"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We have not paid any cash dividends on our equity securities to date. The payment of any cash dividends will be within the discretion of the Board. It is currently not expected that the Board will declare any dividends in the foreseeable future. Further, our ability to declare dividends may be limited by the terms of financing or other agreements entered into by us or our subsidiaries from time to time. We have not identified a paying agent in relation to any payment of cash dividends. See “</w:t>
            </w:r>
            <w:r>
              <w:rPr>
                <w:rFonts w:ascii="Times New Roman;serif" w:hAnsi="Times New Roman;serif"/>
                <w:b w:val="false"/>
                <w:i/>
                <w:color w:val="000000"/>
                <w:sz w:val="20"/>
              </w:rPr>
              <w:t>Description of Common Shares</w:t>
            </w:r>
            <w:r>
              <w:rPr>
                <w:rFonts w:ascii="Times New Roman;serif" w:hAnsi="Times New Roman;serif"/>
                <w:b w:val="false"/>
                <w:color w:val="000000"/>
                <w:sz w:val="20"/>
              </w:rPr>
              <w:t>.”</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our securities</w:t>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Shares and Warrants are listed on Nasdaq under the symbols “KYIV” and “KYIVW,” respectively. </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9092"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Any investment in the securities offered hereby is speculative and involves a high degree of risk. You should carefully consider the information set forth under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elsewhere in, or that may be incorporated by reference in, this prospectus.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Investing in any securities offered pursuant to this prospectus and the applicable prospectus supplement involves risks. You should carefully consider the risks described under Item 3.D. – “Risk Factors”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described under “Risk Factors” and other information contained in the applicable prospectus supplement before acquiring any of such securities. The trading price of our securities could decline due to any of these risks, and you may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Common Shares offered by the Selling Securityholders pursuant to this prospectus will be sold by the Selling Securityholders for their respective accounts. We will not receive any of the proceeds from these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receive up to an aggregate of $88,165,072 from the exercise of the Warrants at an exercise price of $11.50 per Common Share, assuming the exercise in full of all 7,666,528 of our outstanding Warrants for cash. To the extent that any Warrants are exercised on a “cashless basis” under the limited circumstances in which such exercises are permitted, the amount of cash we would receive from the exercise of the Warrants will decrease. The holders of the Warrants are not obligated to exercise any or all of their Warrants, and there is no assurance that they will elect to do so. We will receive the proceeds from any cash exercise of the Warrants, but not from the sale of the underlying Common Shares following exercise of such Warrants. If the price of our Common Shares is below $11.50 (the exercise price of our Warrants), holders of our Warrants will be unlikely to exercise their Warrants, resulting in little to no cash proceeds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use the net proceeds from the exercise of the Warrants, if any, for general corporate purposes. We will have broad discretion over the use of any proceeds from the exercise of the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Common Shares, other than as set forth in the Registration Rights Agreement. We will bear the costs, fees and expenses incurred in effecting the registration of the Common Shares covered by this prospectus, including all registration and filing fees, Nasdaq listing fees and fees and expenses of our counsel and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cash and cash equivalents and total capitalization as of December 31, 2025.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table should be read in conjunction with and is qualified by reference to the historical financial statements of the Company as of December 31, 2025 and 2024 and for each year in the three-year period ended December 31, 2025 incorporated by reference into this prospectus, and other financial information incorporated by reference into this prospectus.</w:t>
      </w:r>
    </w:p>
    <w:p>
      <w:pPr>
        <w:pStyle w:val="TextBody"/>
        <w:bidi w:val="0"/>
        <w:spacing w:lineRule="auto" w:line="288" w:before="0" w:after="0"/>
        <w:jc w:val="both"/>
        <w:rPr>
          <w:color w:val="000000"/>
        </w:rPr>
      </w:pPr>
      <w:r>
        <w:rPr>
          <w:color w:val="000000"/>
        </w:rPr>
        <w:t> </w:t>
      </w:r>
    </w:p>
    <w:tbl>
      <w:tblPr>
        <w:tblW w:w="6635" w:type="dxa"/>
        <w:jc w:val="left"/>
        <w:tblInd w:w="0" w:type="dxa"/>
        <w:tblLayout w:type="fixed"/>
        <w:tblCellMar>
          <w:top w:w="28" w:type="dxa"/>
          <w:left w:w="28" w:type="dxa"/>
          <w:bottom w:w="28" w:type="dxa"/>
          <w:right w:w="28" w:type="dxa"/>
        </w:tblCellMar>
      </w:tblPr>
      <w:tblGrid>
        <w:gridCol w:w="1356"/>
        <w:gridCol w:w="1193"/>
        <w:gridCol w:w="1200"/>
        <w:gridCol w:w="109"/>
        <w:gridCol w:w="109"/>
        <w:gridCol w:w="109"/>
        <w:gridCol w:w="364"/>
        <w:gridCol w:w="364"/>
        <w:gridCol w:w="364"/>
        <w:gridCol w:w="364"/>
        <w:gridCol w:w="364"/>
        <w:gridCol w:w="367"/>
        <w:gridCol w:w="109"/>
        <w:gridCol w:w="109"/>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455</w:t>
            </w:r>
            <w:r>
              <w:rPr>
                <w:color w:val="231F2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Put option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Interest accrued 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Other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Loan Note Payable – VEON Amsterdam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231F20"/>
                <w:sz w:val="20"/>
              </w:rPr>
              <w:t>Total indebtedness</w:t>
            </w:r>
            <w:r>
              <w:rPr>
                <w:rFonts w:ascii="Times New Roman;serif" w:hAnsi="Times New Roman;serif"/>
                <w:b w:val="false"/>
                <w:color w:val="231F20"/>
                <w:sz w:val="13"/>
              </w:rPr>
              <w:t>(1)</w:t>
            </w:r>
            <w:r>
              <w:rPr>
                <w:color w:val="231F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516</w:t>
            </w:r>
            <w:r>
              <w:rPr>
                <w:color w:val="231F20"/>
              </w:rPr>
              <w:t>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Issued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Capital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2,400 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Other capital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965 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231F20"/>
                <w:sz w:val="20"/>
              </w:rPr>
            </w:pPr>
            <w:r>
              <w:rPr>
                <w:rFonts w:ascii="Times New Roman;serif" w:hAnsi="Times New Roman;serif"/>
                <w:b w:val="false"/>
                <w:color w:val="231F2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(2,092)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1,299</w:t>
            </w:r>
            <w:r>
              <w:rPr>
                <w:color w:val="231F2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Total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1,815</w:t>
            </w:r>
            <w:r>
              <w:rPr>
                <w:color w:val="231F2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16"/>
        </w:rPr>
        <w:t xml:space="preserve">(1) </w:t>
      </w:r>
      <w:r>
        <w:rPr>
          <w:rFonts w:ascii="Times New Roman;serif" w:hAnsi="Times New Roman;serif"/>
          <w:b w:val="false"/>
          <w:color w:val="000000"/>
          <w:sz w:val="20"/>
        </w:rPr>
        <w:t>Total indebtedness comprised outstanding debt and financial liabilities, including bonds, accrued interest on bonds, lease liabilities, other financial liabilities, loan note payable, Warrants and put option liabilities. Provisions, deferred tax liabilities, trade and other payables and current income tax payables are excluded.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secondary sales of our Common Shares registered for potential resale and covered by this prospectus will not have a dilutive effect on our shareholders, the potential issuance of up to 7,666,528 Common Shares upon exercise of the Warrants could have a dilutive impact on our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Dilution results from the fact that the per share exercise price of our Common Shares is substantially in excess of the net tangible book value attributable to the existing shareholders. Net tangible book value represents the amount of our total assets less our total liabilities, excluding goodwill and other intangible assets. Net tangible book value per Common Share represents net tangible book value attributable to Common Shares divided by 230,863,624, the total number of our Common Shares outstanding as of December 31, 2025. As of December 31, 2025, we had a net tangible book value of approximately $808 million, corresponding to a net tangible book value of approximately $3.50 per share. After assuming (i) the exercise of 7,666,528 Warrants with an exercise price of $11.50 that remain unexercised as of the date of this prospectus and (ii) the receipt of approximately $88.2 million in proceeds from the exercise of the Warrants, our as adjusted net tangible book value as of December 31, 2025 would be approximately $896.2 million or $3.76 per share. This represents an immediate increase in net tangible book value of $0.26 per Common Share to existing shareholders and an immediate dilution of $7.74 to new investors purchasing such Common Shares upon exercise of the Warrants. Dilution for this purpose represents the difference between the price per share paid by these new investors and the net tangible book value per Common Share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this dilution to new investors purchasing Common Shares in the offering.</w:t>
      </w:r>
    </w:p>
    <w:p>
      <w:pPr>
        <w:pStyle w:val="TextBody"/>
        <w:bidi w:val="0"/>
        <w:spacing w:before="0" w:after="0"/>
        <w:jc w:val="both"/>
        <w:rPr/>
      </w:pPr>
      <w:r>
        <w:rPr/>
      </w:r>
    </w:p>
    <w:tbl>
      <w:tblPr>
        <w:tblW w:w="8596" w:type="dxa"/>
        <w:jc w:val="left"/>
        <w:tblInd w:w="0" w:type="dxa"/>
        <w:tblLayout w:type="fixed"/>
        <w:tblCellMar>
          <w:top w:w="28" w:type="dxa"/>
          <w:left w:w="28" w:type="dxa"/>
          <w:bottom w:w="28" w:type="dxa"/>
          <w:right w:w="28" w:type="dxa"/>
        </w:tblCellMar>
      </w:tblPr>
      <w:tblGrid>
        <w:gridCol w:w="2312"/>
        <w:gridCol w:w="2029"/>
        <w:gridCol w:w="2033"/>
        <w:gridCol w:w="109"/>
        <w:gridCol w:w="109"/>
        <w:gridCol w:w="109"/>
        <w:gridCol w:w="211"/>
        <w:gridCol w:w="127"/>
        <w:gridCol w:w="127"/>
        <w:gridCol w:w="127"/>
        <w:gridCol w:w="130"/>
        <w:gridCol w:w="109"/>
        <w:gridCol w:w="257"/>
        <w:gridCol w:w="154"/>
        <w:gridCol w:w="154"/>
        <w:gridCol w:w="154"/>
        <w:gridCol w:w="154"/>
        <w:gridCol w:w="191"/>
      </w:tblGrid>
      <w:tr>
        <w:trPr/>
        <w:tc>
          <w:tcPr>
            <w:tcW w:w="2312"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4"/>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Dilution in net tangible book value per share to new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dilution information discussed above is illustrative only. The above illustrative calculations do not take into account other sources of dilution, such as dilution resulting from issuances and sales pursuant to the Kyivstar Group Umbrella Incentive Plan or from other transactions, including other financing transactions that we may effectuate and which could result in us issuing additional securities. For more information on risks related to dilution, also see “</w:t>
      </w:r>
      <w:r>
        <w:rPr>
          <w:rFonts w:ascii="Times New Roman;serif" w:hAnsi="Times New Roman;serif"/>
          <w:b w:val="false"/>
          <w:i/>
          <w:color w:val="000000"/>
          <w:sz w:val="20"/>
        </w:rPr>
        <w:t>Risk Factors</w:t>
      </w:r>
      <w:r>
        <w:rPr>
          <w:rFonts w:ascii="Times New Roman;serif" w:hAnsi="Times New Roman;serif"/>
          <w:b w:val="false"/>
          <w:color w:val="000000"/>
          <w:sz w:val="20"/>
        </w:rPr>
        <w:t>.” For information that is more recent than our 20-F annual report for the year ended December 31, 2025, and that may be incorporated by reference herein, also see “</w:t>
      </w:r>
      <w:r>
        <w:rPr>
          <w:rFonts w:ascii="Times New Roman;serif" w:hAnsi="Times New Roman;serif"/>
          <w:b w:val="false"/>
          <w:i/>
          <w:color w:val="000000"/>
          <w:sz w:val="20"/>
        </w:rPr>
        <w:t>Incorporation by Reference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COMMON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Set forth below is a summary of certain information concerning our Common Shares as well as a description of certain material terms of our Bye-Laws and relevant provisions of Bermuda law. Because the following is only a summary, it does not contain all of the information that may be important to you. The following summary is not intended to be complete and is qualified in its entirety by reference to applicable Bermuda law and our Bye-Laws, which have been filed as Exhibit 3.2 to the registration statement of which this prospectus forms a part 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an exempted company limited by shares, incorporated under the Bermuda Companies Act on March 7, 2025. Our registered office is located at Victoria Place, 31 Victoria Street, Hamilton HM 10, Bermuda. Our registration number with the Registrar of Companies in Bermuda is 202504557. As set forth in our Memorandum of Association, Kyivstar Group Ltd. was formed with unrestricted business objects, with all the capacity, rights, powers and privileges of a natural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may issue Common Shares from time to time. This description summarizes the material terms of the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there were 231,863,624 Common Shares issued and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Authorized Share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was incorporated on March 7, 2025 with an authorized share capital of $2,000,000, divided into 2,000,000,000 Common Shares, with a nominal value of $0.001 each, all of which are designated as Common Shares. On June 13, 2025, the entire issued and unissued share capital of the Company was consolidated on a 10:1 basis into 200,000,000 Common Shares of nominal value $0.01, with no change to the $2,000,000 authorized share capital. On July 8, 2025, Kyivstar Group Ltd. increased its authorized share capital to 265,430,000 Common Shares of nominal value $0.01 by written resolution of its sole shareholder in accordance with our Bye-Laws.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our Bye-Laws and to any shareholders’ resolution to the contrary, and without prejudice to any special rights previously conferred on the holders of any existing shares or class of shares, for such time as we have authorized but unissued share capital the Board has the power to issue Common Shares on such terms and conditions as the Board may determine. Any increase in our authorized share capital requires the approval of in excess of 50% of the shares voted (a “simple majority”) at a shareholders’ meeting (a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increase, divide, consolidate, change the currency or denomination of or reduce our share capital with the approval of a simple majority of our shareholders voting in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purchase our own shares for cancellation or acquire them as treasury shares in accordance with Bermuda law on such terms as the Board may determine. All rights of any share held in treasury are suspended and may not be exercised while the share is held by Kyivstar Group in treasury.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we may, under our Bye-Laws, at any time request any person we have cause to believe is interested in our shares to confirm details of our shares in which that person holds an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Rights of Holders of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Kyivstar Group Ltd. Common Shares are, subject to our Bye-Laws and Bermuda law, generally entitled to enjoy all the rights attaching to Kyivstar Group Ltd. Common Shares detailed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treasury shares, each fully paid Kyivstar Group Ltd. Common Share entitles its registered holder to:</w:t>
      </w:r>
    </w:p>
    <w:p>
      <w:pPr>
        <w:pStyle w:val="TextBody"/>
        <w:bidi w:val="0"/>
        <w:spacing w:before="0" w:after="0"/>
        <w:jc w:val="both"/>
        <w:rPr/>
      </w:pPr>
      <w:r>
        <w:rPr/>
      </w:r>
    </w:p>
    <w:p>
      <w:pPr>
        <w:pStyle w:val="TextBody"/>
        <w:bidi w:val="0"/>
        <w:spacing w:lineRule="auto" w:line="288"/>
        <w:ind w:left="0" w:right="0" w:hanging="473"/>
        <w:jc w:val="both"/>
        <w:rPr/>
      </w:pPr>
      <w:r>
        <w:rPr>
          <w:color w:val="000000"/>
        </w:rPr>
        <w:t>•</w:t>
      </w:r>
      <w:r>
        <w:rPr>
          <w:rFonts w:ascii="Times New Roman;serif" w:hAnsi="Times New Roman;serif"/>
          <w:b w:val="false"/>
          <w:color w:val="000000"/>
          <w:sz w:val="20"/>
        </w:rPr>
        <w:t>receive notice of, attend and participate in general meetings;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have one vote per Kyivstar Group Ltd. Common Share on all issues voted upon at a general meeting, except for the purposes of cumulative voting for the election of the Board, in which case each Common Share shall have the same number of votes as the total number of members to be elected to the Board and all such votes may be cast for a single candidate or may be distributed between or among two or more candidates;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receive dividends approved by the Board (any dividend or other money payable in respect of a share which has remained unclaimed for six years from the date when it became due for payment shall, if the Board so resolves, be forfeited and cease to remain owing by Kyivstar Group);</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in the event of our liquidation, receive a pro rata share of our surplus assets; and</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exercise any other rights of a common shareholder set forth in our Bye-Laws and Bermuda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sinking fund provisions attached to any of our shares. Holders of fully paid Common Shares have no further liability to Kyivstar Group Ltd. for capital calls.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Shareholders’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meetings (also known as general meetings) are convened and held in accordance with our Bye-Laws and Bermuda law. Registered holders of shares as of the record date for the shareholder meeting may attend and vote at such shareholder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Annual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and Bermuda law provide that our annual general meeting must be held each year at such time and place as the CEO or the Board may determine and may be held virtually by means of such telephone, electronic or other communication facilities as permit all persons participating in the meeting to communicate with each other simultaneously and instantaneously. Presence at such meeting by electronic means constitutes presence “in person” for all general meetings, as provided for in the Bermuda Companies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Convening the annual general meeting requires that 10 clear days’ prior notice be given to each registered shareholder entitled to attend and vote at such annual general meeting. The notice must state the date and time at which the meeting is to be held, that the meeting is to be held virtually or (if held in person) the meeting venue, that the election of directors will take place and, as far as practicable, any other business to be conducted at the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and our Bye-Laws, qualifying shareholders may, at their own expense (unless the company otherwise resolves), require a company to: (a) give notice to all shareholders entitled to receive notice of the annual general meeting of any resolution that the shareholders may properly propose for consideration at the next annual general meeting; and (b) circulate to all shareholders entitled to receive notice of any general meeting a statement in respect of any matter referred to in the proposed resolution or any business to be conducted at such general meeting. The number of shareholders necessary for such a requisition is either: (1) any number of shareholders representing not less than 5.0% of the total voting rights of all shareholders entitled to vote at the meeting to which the requisition relates; or (2) not less than 100 registered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Special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CEO or the Board may convene a special general meeting whenever such a meeting is deemed necessary. The Board must also, on the requisition in writing of shareholders holding not less than 10.0% of our paid up voting share capital, convene a special general meeting. Each special general meeting shall be held at such time and place as the CEO or the Board may decide.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Convening a special general meeting requires that 10 clear days’ notice be given to each shareholder entitled to attend and vote at such meeting. The notice must state the date and time at which the meeting is to be held, if the meeting is to be held virtually or (if held in person) the meeting venue and, if possible, the business to be conducted at the meeting.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state that notice for all shareholders’ meetings may be given by:</w:t>
      </w:r>
    </w:p>
    <w:p>
      <w:pPr>
        <w:pStyle w:val="TextBody"/>
        <w:bidi w:val="0"/>
        <w:spacing w:before="0" w:after="0"/>
        <w:jc w:val="both"/>
        <w:rPr/>
      </w:pPr>
      <w:r>
        <w:rPr/>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delivering such notice to the shareholder in person;</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sending such notice by letter or courier to the shareholder’s address as stated in the register of shareholders;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transmitting such notice by electronic means in accordance with directions given by the shareholder; or</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accessing such notice on our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Shorter Notice for General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shorter notice period will not invalidate a general meeting if it is approved by either: (a) in the case of an annual general meeting, all shareholders entitled to attend and vote at the meeting, or (b) in the case of a special general meeting, a majority of shareholders having the right to attend and vote at the meeting and together holding not less than 95.0% in nominal value of the shares giving a right to attend and vote at the meeting. The accidental omission to give notice of a general meeting to, or the non-receipt of notice of a general meeting by, any shareholder entitled to receive notice shall not invalidate the proceedings at that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Postponement or cancellation of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postpone or cancel any general meeting called in accordance with the Bye-Laws (other than a meeting requisitioned by shareholders) provided that the notice of postponement or cancellation is given to each shareholder before the time for such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Quorum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Bermuda Companies Act, under Bermuda law and our Bye-Laws, at any general meeting, two or more persons present in person at the start of the meeting and who have the right to attend and vote at the meeting and hold or represent in person or by proxy at least 50.0% of our total issued and outstanding shares at the relevant time will form a quorum for the transaction of business. Participation in a meeting held virtually by means of such telephone, electronic or other communication facilities that permit all persons participating in the meeting to communicate with each other simultaneously and instantaneously, shall constitute presence in person at such meeting, as provided for in the Bermuda Companies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within half an hour from the time the meeting commenced a quorum is not present, then, in the case of a meeting convened on a requisition, the meeting shall be deemed canceled and, in any other case, the meeting shall stand adjourned to the same day one week later, at the same time. The CEO may determine whether the meeting is to be held virtually, or (if held in person) the meeting venue, or if another day or time is more appropriate.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 At such adjourned meeting, that the presence of two or more persons present in person (including by electronic means) at the start of the meeting and having the right to attend and vote at the meeting and hold or represent in person or by proxy at least thirty-three and two-thirds percent (33²⁄₃%) of the total issued voting shares in the Company shall form a quorum for the transaction of business. If the CEO shall determine that the meeting be adjourned to an unspecified date, time or place, fresh notice of the resumption of the meeting shall be given to each shareholder entitled to attend and vote thereat. A meeting may not be adjourned to a day which is more than 90 days after the day originally appointed for the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the voting rights of our shareholders are regulated by our Bye-Laws and, in certain circumstances, the Bermuda Companies Act. The registered holders of Common Shares, subject to the provisions of our Bye-Laws, are entitled to one vote per common share, except where cumulative voting applies when electing directors.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Bermuda law and our Bye-Laws, a resolution may only be put to a vote at a general meeting of any class of shareholders if:</w:t>
      </w:r>
    </w:p>
    <w:p>
      <w:pPr>
        <w:pStyle w:val="TextBody"/>
        <w:bidi w:val="0"/>
        <w:spacing w:before="0" w:after="0"/>
        <w:jc w:val="both"/>
        <w:rPr/>
      </w:pPr>
      <w:r>
        <w:rPr/>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it is proposed by or at the direction of the Board;</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it is proposed at the direction of a court;</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it is proposed on the requisition in writing of such number of shareholders as is prescribed by, and is made in accordance with, the relevant provisions of the Bermuda Companies Act or our Bye-Laws; or</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the chairman of the meeting in his absolute discretion decides that the resolution may properly be regarded as within the scope of the business of the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those matters required by Bermuda law to be approved by a simple majority of shareholders voting at any general meeting, the following actions require the approval of a simple majority of the votes cast at any general meeting:</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any sale of all or substantially all (being in excess of sixty-six and two-thirds percent (66²⁄₃%) by value) of our assets;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the appointment of an auditor;</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removal of directors; and</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any increase in our authorized share capital beyond its current limits.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question proposed for the consideration of the shareholders at any general meeting may be decided by the affirmative votes of a simple majority of the votes cast, except for:</w:t>
      </w:r>
    </w:p>
    <w:p>
      <w:pPr>
        <w:pStyle w:val="TextBody"/>
        <w:bidi w:val="0"/>
        <w:spacing w:before="0" w:after="0"/>
        <w:jc w:val="both"/>
        <w:rPr/>
      </w:pPr>
      <w:r>
        <w:rPr/>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voting for directors, which requires directors to be elected by cumulative voting at each annual general meeting;</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changes to our Bye-Laws, which require a resolution to be passed by shareholders representing not less than 66 2/3% of the total voting rights of the shareholders who vote in person or by proxy on the resolution;</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any merger, consolidation, amalgamation, conversion, reorganization of share capital (save that the creation of depository interests or similar interests, instruments or securities representing shares shall not constitute a reorganization of capital for these purposes), scheme of arrangement, dissolution or liquidation, which requires a resolution to be passed by shareholders representing not less than 66 2/3% of the total voting rights of the shareholders who vote in person or by proxy on the resolution;</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loans to any director, which require a resolution to be passed by shareholders representing not less than 90.0% of the total voting rights of the shareholders who vote in person or by proxy on the resolution; and</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the discontinuation of Kyivstar Group to a jurisdiction outside Bermuda, which requires a resolution to be passed by shareholders representing not less than 66 2/3% of the total voting rights of the shareholders who vote in person or by proxy on the resolution.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require voting on any resolution at any meeting of the shareholders to be conducted by way of a poll vote. Except where cumulative voting is required for the election of directors, each person present in person (including electronically) and entitled to vote at a meeting of the shareholders shall have one vote for each common share of which such person is the registered holder, or for which such person holds a proxy and such vote shall be counted by ballot or, in the case of a general meeting at which one or more shareholders are present by electronic means, in such manner as the chairman of the meeting may direct. A person entitled to more than one vote need not use all its votes or cast all the votes it uses in the same way.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Transfer Restrictions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For such time as the Common Shares are fully listed on the Nasdaq (or another appointed exchange, as determined from time to time by the Bermuda Monetary Authority), there are no Bermuda law transfer restrictions applicable to the Common Shares. Were any of the Common Shares to not be fully paid, our Bye-Laws permit the Board to decline to register a transfer. At such time as the Common Shares cease to be listed on the Nasdaq (or another appointed exchange, as determined from time to time by the Bermuda Monetary Authority), the Bermuda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Control Act 1972 and associated regulations require, except in limited circumstances, that the prior consent of the Bermuda Monetary Authority be obtained for any transfers of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have no requirements or restrictions with respect to foreign ownership of our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governed by the Board who, under our Bye-Laws, may delegate management of the business and affairs of the Company to the CEO and the Officers of the Company under the direction of the Board and on such terms as the Board may from time to time determine. Subject to certain material business decisions that are reserved to the Board, the Board generally delegates day-to-day management of our company to our CEO.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provide that the Board shall consist of such number of directors being not less than five directors and not more than eleven directors, as the Board shall from time to time determine, subject to approval by our shareholders. Our current Board consists of ten (10) directors, all of whom are holding office until our next annual general meeting to take place in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directors are elected annually to the Board by our shareholders through cumulative voting at the annual general meeting. Each voting share confers on its holder a number of votes equal to the number of directors to be elected. The holder may cast those votes for candidates in any proportion, including casting all votes for one candidate.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our Bye-Laws, the amount of any fees or other remuneration payable to directors is determined by the Remuneration Committee of the Kyivstar Group Board, to which the Kyivstar Group Board can from time to time delegate certain of its responsibility for review and determination of compensation. We may repay to any director such reasonable costs and expenses as he or she may properly incur in the performance of his or her duties.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requirement for the members of the Kyivstar Group Board to own shares. A director who is not a shareholder will nevertheless be entitled to attend and speak at general meetings and at any separate meeting of the holders of any class of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Bermuda law nor our Bye-Laws establish any mandatory retirement age for our directors or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Dividends and Dividend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Bermuda law, we are prohibited from declaring or paying a dividend if there are reasonable grounds for believing that (a) we are, or would after the payment be, unable to pay our liabilities as they become due, or (b) the realizable value of our assets would, as a result of the dividend, be less than the aggregate of our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subject to our Bye-Laws and in accordance with the Bermuda Companies Act, declare a dividend to be paid to the shareholders holding shares entitled to receive dividends, in proportion to the number of shares held by them, and such dividend may be paid in cash or wholly or partly in shares or other assets, including through the issuance of our Common Shares or other securities, in which case the Board may fix the value for distribution in specie of any assets, shares or securities. We are not required to pay interest on any unpaid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our Bye-Laws, dividends may be declared and paid in proportion to the amount paid up on each share. All our issued shares are currently fully paid. The holders of Common Shares are entitled to dividends if the payment of dividends is approved by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unclaimed for a period of six years from the proposed date of payment may be forfeited.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and Bermuda law do not provide for pre-emptive rights of shareholders in respect of any new shares issued by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of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statutory regulation of the conduct of takeover offers and transactions under Bermuda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have the right to approve transactions with interested parties, subject to compliance with Bermuda law and our Bye-Laws. At the earliest possible opportunity, all directors’ interests must be fully disclosed, and in any event, prior to consideration by or voting on the transaction by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Liquidation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Kyivstar Group Ltd. is wound up, the liquidator may, with the sanction of a special resolution of the shareholders, divide among the shareholders in specie or in kind the whole or any part of our assets (whether they shall consist of property of the same kind or not) and may, for such purpose, set such value as the liquidator deems fair upon any property to be divided as aforesaid and may determine how such division shall be carried out as between the shareholders or different classes of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liquidator may, with the same sanction, vest the whole or any part of such assets in trustees upon such trusts for the benefit of the shareholders as the liquidator thinks fit, but so that no shareholder may be compelled to accept any shares or other securities or assets on which there is any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Common Shares, in the event of our winding-up or dissolution, are entitled to our surplus assets in respect of their holdings of Common Shares, pari passu and pro rata to the number of Common Shares held by each of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Register of Members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our issued Common Shares are registered on the Kyivstar Group Ltd. register of members in accordance with applicable Bermuda law. Kyivstar Group Ltd. has notified the Registrar of Companies in Bermuda that a branch register of members of the company is maintained by the Transfer Agent, as permitted under the Bermuda Companies Act. Subject to the foregoing, the register of members of a company is generally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Differences in Company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Bermuda companies are governed by the Bermuda Companies Act. The Bermuda Companies Act is modeled on English Law,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Duties of Directors</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Bermuda Companies Act authorizes the directors of a company, subject to such company’s bye-laws, to exercise all powers of the company except those that are required by the Bermuda Companies Act or the company’s bye-laws to be exercised by the shareholders of the company. Our Bye-Laws provide that our business is to be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managed by the Board. In accordance with Bermuda law, members of a board of directors owe a fiduciary duty to the company to act in good faith in their dealings with or on behalf of the company and exercise their powers and fulfill the duties of their office honestly. Amongst others, the directors’ fiduciary duty includes the following essential elements: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duty to act in good faith in the best interests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duty not to make a personal profit from opportunities that arise from the office of director;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duty to avoid situations in which there is an actual or potential conflict between a personal interest or the duties owed;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duty to exercise powers for the purpose for which such powers were intended.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Bermuda Companies Act imposes a statutory duty on directors and officers of a Bermuda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act honestly and in good faith with a view to the best interests of the company;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exercise the care, diligence and skill that a reasonably prudent person would exercise in comparable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Bermuda Companies Act also imposes various duties on directors and officers of a company with respect to certain matters of management and administration of such company.</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shareholders. The duty of care requires that a director act in good faith, in an informed and deliberative manner, with the care that an ordinarily prudent person would exercise under similar circumstances. Under this duty, a director must inform himself or herself of, and disclose to shareholders, all material information reasonably available regarding a significant transaction. The duty of care also requires that directors exercise a duty of oversight, which requires directors to attempt in good faith to assure that the company implements adequate reporting and information systems and controls.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company, per the “business judgment rule.”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Notwithstanding the foregoing, Delaware courts subject directors’ conduct to enhanced scrutiny in certain situations, including in connection with self-interested or related party transactions, when the board of directors takes certain defensive actions, and in connection with a sale of control of the company.</w:t>
      </w:r>
    </w:p>
    <w:p>
      <w:pPr>
        <w:pStyle w:val="TextBody"/>
        <w:bidi w:val="0"/>
        <w:spacing w:before="0" w:after="0"/>
        <w:jc w:val="both"/>
        <w:rPr/>
      </w:pPr>
      <w:r>
        <w:rPr/>
      </w:r>
    </w:p>
    <w:p>
      <w:pPr>
        <w:pStyle w:val="TextBody"/>
        <w:bidi w:val="0"/>
        <w:spacing w:lineRule="auto" w:line="288" w:before="0" w:after="0"/>
        <w:ind w:left="0" w:right="0" w:firstLine="357"/>
        <w:jc w:val="both"/>
        <w:rPr/>
      </w:pPr>
      <w:r>
        <w:rPr>
          <w:rFonts w:ascii="Times New Roman;serif" w:hAnsi="Times New Roman;serif"/>
          <w:b/>
          <w:i/>
          <w:color w:val="000000"/>
          <w:sz w:val="20"/>
        </w:rPr>
        <w:t>Interested Directors</w:t>
      </w:r>
      <w:r>
        <w:rPr>
          <w:color w:val="000000"/>
        </w:rPr>
        <w:t> </w:t>
      </w:r>
    </w:p>
    <w:p>
      <w:pPr>
        <w:pStyle w:val="TextBody"/>
        <w:bidi w:val="0"/>
        <w:spacing w:before="0" w:after="0"/>
        <w:ind w:left="0" w:right="0" w:firstLine="357"/>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Bermuda law provides that a transaction entered into by Kyivstar Group Ltd. in which a director has an interest will not be voidable by Kyivstar Group Ltd. and such director will not be liable to us for any profit realized pursuant to such transaction as a result of such interest, provided always that the nature of the interest is fairly disclosed at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 opportunity, either at a meeting of directors or in writing to the directors. While we are not aware of any Bermuda case law on the meaning of “first opportunity,” a Bermuda court will likely employ a practical interpretation of those words.</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Nasdaq rules and applicable U.S. securities laws, our Bye-Laws provide that having fully declared and disclosed any interest at the earliest opportunity and prior to any discussion of, or voting on, such transaction or matter by the Board, the Kyivstar Group Ltd. director may nevertheless vote thereon.</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such transaction in which a director has a direct or indirect financial or other interest would not be voidable if: (i) the material facts as to such interested director’s relationship or interests in such transaction are disclosed or are known to the board of directors and the board in good faith authorizes the transaction by the affirmative vote of a majority of the disinterested directors; (ii) such material facts are disclosed or are known to the shareholders entitled to vote on such transaction and the transaction is specifically approved in good faith by vote of the majority of shares entitled to vote on the matter; or (iii) the transaction is fair as to the company as of the time it is authorized, approved or ratified. Under Delaware law, such interested director could be held liable for a transaction in which such director derived an improper personal benefit. </w:t>
      </w:r>
    </w:p>
    <w:p>
      <w:pPr>
        <w:pStyle w:val="TextBody"/>
        <w:bidi w:val="0"/>
        <w:spacing w:before="0" w:after="0"/>
        <w:ind w:left="0" w:right="0" w:firstLine="357"/>
        <w:jc w:val="both"/>
        <w:rPr/>
      </w:pPr>
      <w:r>
        <w:rPr/>
      </w:r>
    </w:p>
    <w:p>
      <w:pPr>
        <w:pStyle w:val="TextBody"/>
        <w:bidi w:val="0"/>
        <w:spacing w:lineRule="auto" w:line="288" w:before="0" w:after="0"/>
        <w:ind w:left="0" w:right="0" w:firstLine="357"/>
        <w:jc w:val="both"/>
        <w:rPr/>
      </w:pPr>
      <w:r>
        <w:rPr>
          <w:rFonts w:ascii="Times New Roman;serif" w:hAnsi="Times New Roman;serif"/>
          <w:b/>
          <w:i/>
          <w:color w:val="000000"/>
          <w:sz w:val="20"/>
        </w:rPr>
        <w:t>Voting Rights and Quorum Requirements</w:t>
      </w:r>
      <w:r>
        <w:rPr>
          <w:color w:val="000000"/>
        </w:rPr>
        <w:t> </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Bermuda law, the voting rights of our shareholders are regulated by our Bye-Laws and, in certain circumstances, the Bermuda Companies Act. Subject to the Bermuda Companies Act and unless otherwise specified in our Bye-Laws, any question properly proposed for the consideration of the shareholders at any general meeting shall be decided by the affirmative vote of a simple majority of the votes cast and entitled to vote on the matter, and in the case of an equality of votes, the chairman of such meeting shall not be entitled to a second or casting vote and the resolution shall fail. Any individual who is a registered holder of our shares and who is present at a meeting may vote in person, as may any corporate shareholder that is represented by a duly authorized representative at a meeting of shareholders, provided that the instrument appointing the corporate representative is in a form approved by our Board. Our Bye-Laws also permit attendance at general meetings by proxy, provided that the instrument appointing the proxy is in the form approved by our Board. </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quorum necessary for transacting business at a meeting of the holders of Common Shares is the presence in person (including by electronic means) of holders holding at least fifty percent (50%) (or thirty-three and two-thirds percent (33²⁄₃%) at any adjourned meeting) of the issued Common Shares. If within half an hour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CEO may determine.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unless otherwise provided in a company’s certificate of incorporation, each shareholder is entitled to one vote for each share of stock held by the shareholder. Delaware law provides that unless otherwise provided in a company’s certificate of incorporation or bylaws, a majority of the shares entitled to vote, present in person or represented by proxy, constitutes a quorum at a meeting of shareholders.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shareholder action, and the affirmative vote of a plurality of shares present in person or represented by proxy and entitled to vote at the meeting is required for the election of directors.</w:t>
      </w:r>
    </w:p>
    <w:p>
      <w:pPr>
        <w:pStyle w:val="TextBody"/>
        <w:bidi w:val="0"/>
        <w:spacing w:before="0" w:after="0"/>
        <w:ind w:left="0" w:right="0" w:firstLine="357"/>
        <w:jc w:val="both"/>
        <w:rPr/>
      </w:pPr>
      <w:r>
        <w:rPr/>
      </w:r>
    </w:p>
    <w:p>
      <w:pPr>
        <w:pStyle w:val="TextBody"/>
        <w:bidi w:val="0"/>
        <w:spacing w:lineRule="auto" w:line="288" w:before="0" w:after="0"/>
        <w:ind w:left="0" w:right="0" w:firstLine="357"/>
        <w:jc w:val="both"/>
        <w:rPr/>
      </w:pPr>
      <w:r>
        <w:rPr>
          <w:color w:val="000000"/>
        </w:rPr>
        <w:t> </w:t>
      </w:r>
      <w:r>
        <w:rPr>
          <w:rFonts w:ascii="Times New Roman;serif" w:hAnsi="Times New Roman;serif"/>
          <w:b/>
          <w:i/>
          <w:color w:val="000000"/>
          <w:sz w:val="20"/>
        </w:rPr>
        <w:t>Amalgamations, Mergers and Similar Arrangements</w:t>
      </w:r>
      <w:r>
        <w:rPr>
          <w:color w:val="000000"/>
        </w:rPr>
        <w:t> </w:t>
      </w:r>
    </w:p>
    <w:p>
      <w:pPr>
        <w:pStyle w:val="TextBody"/>
        <w:bidi w:val="0"/>
        <w:spacing w:before="0" w:after="0"/>
        <w:ind w:left="0" w:right="0" w:firstLine="357"/>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amalgamation or merger of a Bermuda company with another company or corporation (other than, in limited circumstances, certain affiliated companies) requires the amalgamation or merger agreement first to be approved by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and also by its shareholders. Our Bye-Laws mandate the approval of 66 2/3% of the shareholders voting at a general meeting for an amalgamation or merger agreement to be approved.</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with certain exceptions, a merger, consolidation or sale of all or substantially all the assets of a corporation must be approved by the board of directors and a majority of the issued and outstanding shares entitled to vote on such transaction. A shareholder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shareholders if the stock received in such transaction is listed on a national securities exchange, including Nasdaq.</w:t>
      </w:r>
    </w:p>
    <w:p>
      <w:pPr>
        <w:pStyle w:val="TextBody"/>
        <w:bidi w:val="0"/>
        <w:spacing w:lineRule="auto" w:line="288" w:before="0" w:after="0"/>
        <w:ind w:left="0" w:right="0" w:firstLine="357"/>
        <w:jc w:val="both"/>
        <w:rPr>
          <w:color w:val="000000"/>
        </w:rPr>
      </w:pPr>
      <w:r>
        <w:rPr>
          <w:color w:val="000000"/>
        </w:rPr>
        <w:t> </w:t>
      </w:r>
    </w:p>
    <w:p>
      <w:pPr>
        <w:pStyle w:val="TextBody"/>
        <w:bidi w:val="0"/>
        <w:spacing w:lineRule="auto" w:line="288" w:before="0" w:after="0"/>
        <w:ind w:left="0" w:right="0" w:firstLine="357"/>
        <w:jc w:val="both"/>
        <w:rPr/>
      </w:pPr>
      <w:r>
        <w:rPr>
          <w:rFonts w:ascii="Times New Roman;serif" w:hAnsi="Times New Roman;serif"/>
          <w:b/>
          <w:i/>
          <w:color w:val="000000"/>
          <w:sz w:val="20"/>
        </w:rPr>
        <w:t>Acquisitions</w:t>
      </w:r>
      <w:r>
        <w:rPr>
          <w:color w:val="000000"/>
        </w:rPr>
        <w:t> </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an acquiring party is generally able to acquire compulsorily the common shares of minority holders of a company in the following ways: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By a court-approved procedure under the Bermuda Companies Act known as a “scheme of arrangement.” The Bermuda Companies Act enables the Supreme Court of Bermuda to approve a scheme of arrangement between a company and its shareholders or any class of shareholders. If the requisite majority (being a majority in number of shareholders representing 75% in value and a majority in number)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prior to acquiring the shares for cancellation.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shareholders.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a parent corporation, by resolution of its board of directors and without any shareholder vote, may merge with or into any subsidiary of which it owns at least 90% of each class of its capital stock. Upon any such merger, and in the event the parent corporation does not own all of the stock of the subsidiary, dissenting shareholders of the subsidiary are entitled to certain appraisal rights. Delaware law also provides, subject to certain exceptions, that if a person acquires 15% of voting stock of a company, the person is an “interested shareholder” and may not engage in “business combinations” with the company for a period of three years from the time the person acquired 15% or more of voting stock.</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Dissenters’ Rights of Appraisal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Appraisal rights are available under Delaware law for any class or series of common shares of a corporation in a merger or consolidation, subject to limited exceptions, such as a merger or consolidation of corporations listed on a national securities exchange in which listed stock is the offered consideration.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Shareholder Claims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actions and derivative actions are generally not available to shareholders under Bermuda law. The Bermuda Supreme Court will generally not accept that a holder of Common Shares has the right to bring such a claim directly unless: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act complained of is ultra vires or illegal and not capable of ratification by the majority of other holders of common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act complained of constitutes a fraud on the minority where the wrongdoers control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act complained of constitutes an infringement of individual rights of shareholders, such as the right to vote;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where the company has not complied with provisions requiring that the relevant act be approved by shareholders.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Bermuda Companies Act provides that a shareholder is permitted to apply to the Bermuda Supreme Court to wind up Kyivstar Group Ltd. in certain limited circumstances if the court is of the opinion that it is “just and equitable” to do so, including where there has been some fraud or illegality. However, this statutory provision is seldom utilized.</w:t>
      </w:r>
    </w:p>
    <w:p>
      <w:pPr>
        <w:pStyle w:val="TextBody"/>
        <w:bidi w:val="0"/>
        <w:spacing w:before="0" w:after="0"/>
        <w:ind w:left="0" w:right="0" w:firstLine="357"/>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Indemnification of Directors and Officers</w:t>
      </w:r>
      <w:r>
        <w:rPr>
          <w:color w:val="000000"/>
        </w:rPr>
        <w: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Bermuda Companies Act. Section 98 of the Bermuda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any indemnification or purported indemnification of a Kyivstar Group Ltd. director or officer for fraud or dishonesty, which shall be void, our Bye-Laws permit the indemnification of the Kyivstar Group Ltd. directors and officers in respect of all actions, costs, charges, liabilities, losses, damages and expenses which they or any of them, their heirs, executors or administrators, shall or may incur or sustain by or by reason of any act done, concurred in or omitted in or about the execution of the Kyivstar Group Ltd. business, or their duty, or supposed duty, or in their respective offices or trusts. Our Bye-Laws additionally provide that each holder of Common Shares agrees to waive any claim or right of action such shareholder might have, whether individually or by or in the right of Kyivstar Group Ltd., against any Kyivstar Group Ltd. director or officer on account of any action taken by such Kyivstar Group Ltd. director or officer, or the failure of such Kyivstar Group Ltd. director or officer to take any action in the performance of his or her duties with or for us or any of our subsidiaries, provided that such waiver shall not extend to any matter in respect of any fraud or dishonesty in relation to us which may attach to such Kyivstar Group Ltd. director or officer. Our Bye-Laws further provide that we may advance money to a Kyivstar Group Ltd. director or officer for the costs, charges and expenses incurred by such director or officer in defending any civil or criminal proceedings against him, on condition that he/she shall repay the advance if any allegation of fraud or dishonesty is proved against him/her.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corporation may include in its certificate of incorporation a provision that, subject to the limitations described below, eliminates or limits director liability to the corporation or its shareholders for monetary damages for breaches of their fiduciary duty of care. Under Delaware law, a director’s liability cannot be eliminated or limited for: (i) breaches of the duty of loyalty; (ii) acts or omissions not in good faith or that involve intentional misconduct or a knowing violation of law; (iii) the payment of unlawful dividends or expenditure of funds for unlawful stock purchases or redemptions; or (iv) transactions from which such director derived an improper personal benefit.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Meeting of Shareholders</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Bermuda Companies Act requires an annual meeting of shareholders unless waived by a unanimous resolution of the Board and of all of our shareholders. Kyivstar Group Ltd. is required to convene a general meeting of the holders of Common Shares at least annually on at least 10 clear days’ notice. The annual general meeting will be held in each year at such time and place as the CEO or the Board determines.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general meeting of shareholders, including the annual general meeting may be held by such electronic means as permit all persons participating in the meeting to communicate with each other simultaneously and instantaneously, and electronic participation in such a meeting shall constitute presence in person at such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quorum necessary for transacting business at the Kyivstar Group Ltd. annual general meeting is the presence in person (including by electronic means) of holders holding at least fifty percent (50%) (or thirty-three and two-third percent (33²⁄₃%) at any adjourned meeting) of the issued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Kyivstar Group Ltd. annual general meeting, the Kyivstar Group Ltd. directors shall be elected or re-elected by cumulative voting, and the holders of Common Shares shall vote on such other matters as detailed in the notice convening the Kyivstar Group Ltd. annual general meeting and such other business as may properly be brought before the annual general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our Bye-Laws, shareholder meetings other than the annual general meeting are classed as Special General Meetings. A special general meeting of shareholders may be held when the Board or the Kyivstar Group Ltd. CEO, in their judgment, decide that such a meeting is necessary. In addition, under the Bermuda Companies Act, the Board shall, on the requisition of shareholders holding at the date of the deposit of the requisition not less than ten percent (10%) of the issued Common Shares, forthwith proceed to convene a special general meeting and the provisions of the Bermuda Companies Act shall apply. Each special general meeting shall, subject to the Bermuda Companies Act and our Bye-Laws, be held at such time and place as the CEO or the Board shall appoint.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permits the board of directors or any person who is authorized under a corporation’s certificate of incorporation or bylaws to call a special meeting of shareholders.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Notice of Shareholder Meetings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Bermuda law and our Bye-Laws require that at least 10 clear days’ advance notice of any general meeting (other than an adjourned meeting) shall be given to each registered holder of Common Shares entitled to attend and vote thereat, stating the date and time at which the meeting is to be held, and stating (to the extent possible) the business to be conducted at such meeting. Notice of meetings may be delivered in person, in writing delivered by mail or courier to the address of the Common Shares detailed on the Kyivstar Group Ltd. register of members, electronically, or by being posted on a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postpone or cancel any general meeting called in accordance with our Bye-Laws (other than a meeting requisitioned under our Bye-Laws) provided that notice of postponement or cancellation is given to each shareholder eligible to vote thereat before the time for such meeting. Fresh notice of the date, time and place for a postponed meeting shall be given to the shareholders eligible to vote at such postponed meeting in accordance with our Bye-Laws.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company is generally required to give written notice of any meeting not less than ten days or more than sixty days before the date of the meeting to each shareholder entitled to vote at the meeting.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Dividends and Other Distributions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Bermuda Companies Act to include the proceeds arising from donated shares, credits resulting from the redemption or conversion of shares at less than the amount set up as nominal capital, and donations of cash and other assets to the company.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 declared and for the preceding fiscal year. Delaware law also provides that dividends may not be paid out of net profits if, after the payment of the dividend, capital is less than the capital represented by the outstanding stock of all classes having a preference upon the distribution of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Inspection of Corporate Records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register of holders of Common Shares shall be open to inspection without charge at the Kyivstar Group Ltd. registered office in Bermuda, subject to such reasonable restrictions as the Board may impose, so that not less than two hours in each business day be allowed for inspection. Other than the documents filed with the Bermuda Registrar of Companies under the Bermuda Companies Act, holders of Common Shares have no additional rights to inspect the other books and records of Kyivstar Group Ltd. The Register of Shareholders may, after notice has been given in accordance with the Bermuda Companies Act, be closed for any time or times not exceeding in the whole 30 days in each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requires that a company, within ten days before a meeting of shareholders, prepare and make available a complete list of shareholders entitled to vote at the meeting. This list must be open to the examination of any shareholder for any purpose relating to the meeting for a period of at least ten days prior to the meeting, either on a reasonably accessible electronic network or during ordinary business hours at the principal place of business of the company. Delaware law also permits a shareholder to inspect the company’s books and records if the shareholder can establish that he or she is a shareholder of the company, that the shareholder has complied with Delaware law with respect to the form and manner of making demand for inspection of corporate records, and that the inspection by the shareholder is for a proper purpose.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Shareholder Proposals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5% of the total voting rights of all members having at the date of the requisition a right to vote at that meeting to which the requisition relates; or (y) not less than one hundred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does not include a provision restricting the manner in which nominations for directors may be made by shareholders or the manner in which business may be brought before a meeting, although restrictions may be included in a Delaware corporation’s certificate of incorporation or bylaws.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Amendment of Memorandum of Association/Certificate of Incorporation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Bermuda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persons entitled to make the application by one or more of their designees as such holders may appoint in writing for such purpose. No application may be made by the shareholders voting in favor of the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shareholders entitled to vote or directing that the proposed amendment be considered at the next annual meeting of the shareholders. Delaware law requires that, unless a greater percentage is provided for in the certificate of incorporation, a majority of the outstanding voting power of the corporation is required to approve the amendment of the certificate of incorporation at the shareholders’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Amendment of Bye-Laws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Amendments to our Bye-Laws may only be effected by resolution of the Board, followed by a special resolution of the holders of Common Shares at a general meeting, being the affirmative vote of the holders of Common Shares representing not less than sixty six and two-thirds percent (66²⁄₃%) of the total voting rights of the Kyivstar Group Ltd. shareholders who (being entitled to do so) vote in person or by proxy on the resolution at such general meeting (a “Kyivstar Group Ltd. Special Resolution”).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Dissolution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 solvent company may be wound up by way of a shareholders’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A special general meeting is required to be convened primarily for the purposes of passing a resolution that the company be wound up voluntarily and appointing a liquidator. The winding-up of the company is deemed to commence at the time of the passing of the shareholder resolution.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Voluntary liquidation of Kyivstar Group Ltd. shall require the approval of a resolution of the Board and a Kyivstar Group Ltd. Special Resolution passed at a special general meeting of the holders of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corporation may voluntarily dissolve (i) if a majority of the board of directors adopts a resolution to that effect at any meeting called for such purpose and the holders of a majority of the issued and outstanding shares entitled to vote thereon vote for such dissolution; or (ii) if all shareholders entitled to vote thereon consent in writing to such dissolution.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Shares is Continental Stock Transfer &amp; Trust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Shares are listed on Nasdaq under the symbol “KYIV.”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of the material terms of our Warrants is not intended to be complete and is qualified by reference to the Bye-Laws and the Warrant-related documents described herein which are exhibits to the registration statement of which this prospectus is a part. We urge you to read each of the Bye-Laws and the Warrant-related documents described herein in their entirety for a complete description of the rights and preferences of our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there were 7,666,528 Warrants outstanding. Upon the consummation of the Business Combination, each Cohen Circle public warrant outstanding immediately prior to such Business Combination was assumed by us and converted into a Warrant. As of the closing date of the Business Combination, there were 7,666,667 Warrants issued and outstanding. Each Warrant continues to have and be subject to substantially the same terms and conditions as were applicable to such Cohen Circle public warrant immediately prior to the consummation of the Business Combination (including any redemption rights and cashless exercise provisions). Each Warrant entitles the holder thereof the right to acquire one Common Share at an exercise price of $11.50 per share (subject to adjustments) from thirty (30) days after the closing date of the Business Combination and will expire five (5) years after the completion of the Business Combination, or earlier upon redemption or liquidation.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Redemption of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less than all of the outstanding Warrants may be redeemed, at our option, at any time while they are exercisable and prior to their expiration, at the office of the Warrant agent, upon notice to the registered holders of the Warrants, at a redemption price of $0.01 per Warrant; provided that (a) the last reported sales price of our Common Shares for any twenty (20) Trading Days (as defined in the Warrant Agreement) within the thirty (30) Trading-Day period ending on the third Trading Day prior to the date on which notice of the redemption is given equals or exceeds $18.00 per Common Share (subject to adjustment), and (b) there is an effective registration statement covering the issuance of the Common Shares issuable upon exercise of the Warrants, and a current prospectus relating thereto, available throughout the period of not less than thirty (30) days prior to the redemption date or we have elected to require the exercise of the Warrants on a “cashless basis” pursuant to the terms of the Warrant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that we elect to redeem the Warrants, we shall fix a date for redemption (the “Warrant Redemption Date”). Notice of redemption shall be mailed by first class mail, postage prepaid, by us not less than thirty (30) days prior to the Warrant Redemption Date to the registered holders of the Warrants to be redeemed at their last addresses as they shall appear on the registration books. Any notice mailed in the manner provided in the Warrant Agreement shall be conclusively presumed to have been duly given whether or not the registered holder received such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Warrants may be exercised for cash (or on a “cashless basis” pursuant to the terms of the Warrant Agreement, if applicable) at any time after the notice of redemption shall have been given by us and prior to the Warrant Redemption Date. In the event that we determine to redeem the Warrants or require all holders of Warrants to exercise their Warrants on a “cashless basis” pursuant to the terms of the Warrant Agreement, the notice of redemption shall contain instructions on how to calculate the number of Common Shares to be received upon exercise of the Warrants. On and after the Warrant Redemption Date, the record holder of the Warrants shall have no further rights except to receive, upon surrender of the Warrants, the price per Warrant at which any Warrants are redeemed.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Transfer Agent and Warrant Agent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Warrants is Continental Stock Transfer &amp; Trust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Warrants are listed on Nasdaq under the symbol “KYIVW.”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from time to time, by the selling shareholders named herein or their pledgees, donees, transferees, or other successors in interest (collectively, the “Selling Securityholders”), of up to 196,241,664 Common Shares,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Shares to be offered and sold by the Selling Securityholders under this prospectus include (i) 3,218,634 Common Shares originally issued to the Sponsors in connection with the Business Combination, (ii) 55,590 Common Shares issued to the Non-Redeeming Shareholders pursuant to the terms of the Non-Redemption Agreement, and (iii) 192,967,440 Common Shares held by VEON Amsterdam, which is the beneficial owner of a majority of our Common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of each Selling Securityholder, the number of Common Shares owned by such Selling Securityholder as of the date of this prospectus, the maximum number of Common Shares (assuming exercise of any Warrants beneficially owned by such Selling Securityholder) which may be offered by such Selling Securityholder pursuant to this prospectus, and the number and percentage of Common Shares to be beneficially owned by such Selling Securityholder assuming all of the Common Shares which may be offered by such Selling Securityholder pursuant to this prospectus are sold.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cannot advise you as to whether the Selling Securityholders will in fact sell any or all of their Common Shares. The Selling Securityholders may offer all or part of the Common Shares for resale from time to time through public or private transactions, at either prevailing market prices or at privately negotiated prices. Because the Selling Securityholders may offer all, some or none of their Common Shares, no definitive estimate as to the number of Common Shares that will be held by the Selling Securityholders after an offering can be provided. A Selling Securityholder may sell or otherwise transfer all, some or none of such securities in any offering. See “</w:t>
      </w:r>
      <w:r>
        <w:rPr>
          <w:rFonts w:ascii="Times New Roman;serif" w:hAnsi="Times New Roman;serif"/>
          <w:b w:val="false"/>
          <w:i/>
          <w:color w:val="000000"/>
          <w:sz w:val="20"/>
        </w:rPr>
        <w:t>Plan of Distribution</w:t>
      </w:r>
      <w:r>
        <w:rPr>
          <w:rFonts w:ascii="Times New Roman;serif" w:hAnsi="Times New Roman;serif"/>
          <w:b w:val="false"/>
          <w:color w:val="000000"/>
          <w:sz w:val="20"/>
        </w:rPr>
        <w:t>.” We will not receive any of the proceeds from the sale of the Common Shares sold by the Selling Securityholders, including any Common Shares sold by VEON Amsterdam.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Therefore, beneficial ownership of the Common Shares by each Selling Securityholder includes Common Shares underlying any securities held by such Selling Securityholder (such as the Warrants) that are currently exercisable or convertible, or exercisable or convertible within sixty (60) days.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we believe that all persons named in the table below have sole voting and investment power with respect to Common Shares beneficially owned by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in the footnotes to the table below, none of the Selling Securityholders has held any position or office or has had any other material relationship with us or any of our affiliates within the past three years other than as a result of his or her ownership of shares of equity securities. This information is based upon information provided by the Selling Securityholders. Selling Securityholders information for each additional Selling Securityholders, if any, will be set forth in a prospectus supplement to the extent required prior to the time of any offer or sale of such Selling Securityholder’s Common Shares pursuant to this prospectus. Any prospectus supplement may add, update, substitute, or change the information contained in this prospectus, including the identity of each Selling Securityholders and the number of Common Shares registered on its behalf.</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7"/>
        <w:gridCol w:w="515"/>
        <w:gridCol w:w="518"/>
        <w:gridCol w:w="109"/>
        <w:gridCol w:w="109"/>
        <w:gridCol w:w="109"/>
        <w:gridCol w:w="692"/>
        <w:gridCol w:w="384"/>
        <w:gridCol w:w="386"/>
        <w:gridCol w:w="109"/>
        <w:gridCol w:w="109"/>
        <w:gridCol w:w="109"/>
        <w:gridCol w:w="478"/>
        <w:gridCol w:w="478"/>
        <w:gridCol w:w="479"/>
        <w:gridCol w:w="109"/>
        <w:gridCol w:w="109"/>
        <w:gridCol w:w="109"/>
        <w:gridCol w:w="631"/>
        <w:gridCol w:w="323"/>
        <w:gridCol w:w="324"/>
        <w:gridCol w:w="109"/>
        <w:gridCol w:w="109"/>
        <w:gridCol w:w="109"/>
        <w:gridCol w:w="567"/>
        <w:gridCol w:w="374"/>
        <w:gridCol w:w="375"/>
        <w:gridCol w:w="109"/>
        <w:gridCol w:w="109"/>
        <w:gridCol w:w="109"/>
        <w:gridCol w:w="424"/>
        <w:gridCol w:w="424"/>
        <w:gridCol w:w="611"/>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 of Selling Securityholder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Common Shares Owned Before the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Common Shares Owned Before the Offering</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Common Shares to be Sold</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Owned After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Common Shares Owned After the Offering</w:t>
            </w:r>
          </w:p>
        </w:tc>
      </w:tr>
      <w:tr>
        <w:trPr/>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VEON Amsterdam B.V.</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192,967,440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192,967,440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Cohen Circle Sponsor I, LLC</w:t>
            </w: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713,194 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713,194 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Cohen Circle LLC</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1,051,712 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1,051,712 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Former members of Cohen Circle Advisors I, LLC</w:t>
            </w:r>
            <w:r>
              <w:rPr>
                <w:rFonts w:ascii="Times New Roman;serif" w:hAnsi="Times New Roman;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460,140 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460,140 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HEPCO FAMILY TRUST DTD 4/28/11</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48,692 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Linden Capital L.P.</w:t>
            </w:r>
            <w:r>
              <w:rPr>
                <w:rFonts w:ascii="Times New Roman;serif" w:hAnsi="Times New Roman;serif"/>
                <w:b w:val="false"/>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71,373 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16,889 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Verition Multi-Strategy Master Fund LTD</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336,855 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193,948 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142,907 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Entities affiliated with Magnetar</w:t>
            </w:r>
            <w:r>
              <w:rPr>
                <w:rFonts w:ascii="Times New Roman;serif" w:hAnsi="Times New Roman;serif"/>
                <w:b w:val="false"/>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Entities affiliated with Kepos</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Entities affiliated with AQR</w:t>
            </w:r>
            <w:r>
              <w:rPr>
                <w:rFonts w:ascii="Times New Roman;serif" w:hAnsi="Times New Roman;serif"/>
                <w:b w:val="false"/>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207,737 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153,253 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Polar Multi Strategy Master Fund</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AIMCO (Alberta Investment Management Corporation)</w:t>
            </w:r>
            <w:r>
              <w:rPr>
                <w:rFonts w:ascii="Times New Roman;serif" w:hAnsi="Times New Roman;serif"/>
                <w:b w:val="false"/>
                <w:color w:val="000000"/>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934,500 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193,948 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740,552 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Spac Sponsor Capital Access</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Entities affiliated with Harraden Circle</w:t>
            </w:r>
            <w:r>
              <w:rPr>
                <w:rFonts w:ascii="Times New Roman;serif" w:hAnsi="Times New Roman;serif"/>
                <w:b w:val="false"/>
                <w:color w:val="000000"/>
                <w:sz w:val="1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Entities affiliated with Picton Mahoney</w:t>
            </w:r>
            <w:r>
              <w:rPr>
                <w:rFonts w:ascii="Times New Roman;serif" w:hAnsi="Times New Roman;serif"/>
                <w:b w:val="false"/>
                <w:color w:val="000000"/>
                <w:sz w:val="1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CSS, LLC</w:t>
            </w:r>
            <w:r>
              <w:rPr>
                <w:rFonts w:ascii="Times New Roman;serif" w:hAnsi="Times New Roman;serif"/>
                <w:b w:val="false"/>
                <w:color w:val="000000"/>
                <w:sz w:val="1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527,962 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500,720 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The K2 Principal Fund L.P.</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Context Partners Master Fund, L.P.</w:t>
            </w:r>
            <w:r>
              <w:rPr>
                <w:rFonts w:ascii="Times New Roman;serif" w:hAnsi="Times New Roman;serif"/>
                <w:b w:val="false"/>
                <w:color w:val="000000"/>
                <w:sz w:val="1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Marlton Partners L.P.</w:t>
            </w:r>
            <w:r>
              <w:rPr>
                <w:rFonts w:ascii="Times New Roman;serif" w:hAnsi="Times New Roman;serif"/>
                <w:b w:val="false"/>
                <w:color w:val="000000"/>
                <w:sz w:val="1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Nautilus Master Fund, L.P.</w:t>
            </w:r>
            <w:r>
              <w:rPr>
                <w:rFonts w:ascii="Times New Roman;serif" w:hAnsi="Times New Roman;serif"/>
                <w:b w:val="false"/>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YA II PN, Ltd.</w:t>
            </w:r>
            <w:r>
              <w:rPr>
                <w:rFonts w:ascii="Times New Roman;serif" w:hAnsi="Times New Roman;serif"/>
                <w:b w:val="false"/>
                <w:color w:val="000000"/>
                <w:sz w:val="1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Sona Blue Peak</w:t>
            </w:r>
            <w:r>
              <w:rPr>
                <w:rFonts w:ascii="Times New Roman;serif" w:hAnsi="Times New Roman;serif"/>
                <w:b w:val="false"/>
                <w:color w:val="000000"/>
                <w:sz w:val="1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245,310 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2,907 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242,403 </w:t>
            </w:r>
          </w:p>
        </w:tc>
        <w:tc>
          <w:tcPr>
            <w:tcW w:w="3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Sona Capital Solutions II SCSp</w:t>
            </w:r>
            <w:r>
              <w:rPr>
                <w:rFonts w:ascii="Times New Roman;serif" w:hAnsi="Times New Roman;serif"/>
                <w:b w:val="false"/>
                <w:color w:val="000000"/>
                <w:sz w:val="1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403,902 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351,219 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number of Common Shares listed for each Selling Securityholder is based on the Common Shares held by such Selling Securityholder as a registered shareholder of the Company as of the date of this prospectus, but assumes the exercise of all Warrants held by such Selling Securityholder as of the date of this prospectus, if 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(2)*Indicates less than 1% of the total outsanding Common Shares as of the date of this prospectus.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number of Common Shares to be sold includes the Common Shares offered hereby that are held by such Selling Securityholder as of the date of this prospectus, but excludes the number of Common Shares issuable upon the exercise of Warrants held by such Selling Securityholder, if any.</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(4)The sole shareholder of VEON Amsterdam is VEON Ltd., a publicly-traded company on NASDAQ with no controlling shareholder and managed by a board of seven directors as of the date of this prospectus. The board of directors of VEON Amsterdam, which consists of three directors as of the date of this prospectus, have direct voting and disposition powers with respect to the securities owned by VEON Amsterdam. The registered business address of all of the foregoing persons is c/o VEON Ltd., Index Tower (East Tower), Unit 1703, Dubai (DIFC), United Arab Emirates.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Sponsor’s executive office address is 2929 Arch Street, Suite 1703, Philadelphia, PA 19104. The Sponsor is managed by Betsy Cohen, and Ms. Cohen disclaims beneficial ownership of these securities, except to the extent of her pecuniary interest therein.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(6)Cohen Circle LLC is a wholly-owned subsidiary of Cohen Circle Holdings, LLC, which is owned and managed by the following members: Daniel Cohen, Betsy Cohen, Amanda Abrams and DGC Family FinTech Trust. Raphael Licht and Jeffrey Blomstrom are co-trustees of the DGC Family FinTech Trust. The business address for Cohen Circle LLC is 2929 Arch Street, Suite 1703, Philadelphia, PA 19104.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(7)Represents shares held by 14 selling securityholders not listed above. These holders received their shares as members of Cohen Circle Advisors I, LLC, and, as a group, they own less than one percent (1%) of our outstanding Common Shares prior to this offering. The busines address for the foregoing selling securityholders is 2929 Arch Street, Suite 1703, Philadelphia, PA 19104.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(8)Jonathan Cohen is the beneficial owner of the securities held by Hepco Family Trust. The business address for Hepco Family Trust is 1107 Fifth Avenue, Apt. 7S, New York, NY 10128.</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(9)Consists of (i) 54,484 Common Shares held as of the date of this prospectus and (ii) 16,899 Common Shares issuable upon exercise of Warrants. 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Wong share voting and dispositive power with respect to the securities held by Linden Capital L.P. The address of Linden Capital L.P. is c/o Linden Advisors LP, 590 Madison Avenue, Floor 32, New York, NY 10022.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(10)Nicholas Maounis through ownership of the managing member of Verition Fund Management LLC, investment manager of Verition Multi-Strategy Master Fund Ltd., may be deemed to have voting and investment control with respect to these securities. Verition Fund Management LLC, its managing member and Mr. Maounis disclaim beneficial ownership over these securities, except to the extent of their pecuniary interest therein. The address of Verition Multi-Strategy Master Fund Ltd is One American Lane, Greenwich, CT 06831.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(11)Magnetar Financial LLC (“MFL”) serves as investment manager of Magnetar Xing He Master Fund Ltd, Magnetar Alpha Star Fund LLC, Magnetar Constellation Master Fund Ltd, and Magnetar SC Fund Ltd. MFL is the general partner of Magnetar Structured Credit Fund, LP and the manager of Magnetar Lake Credit Fund LLC (together with all of the foregoing funds, the “Magnetar Funds”). In such capacities, MFL exercises voting and investment power over the securities listed above held for the accounts of the Magnetar Funds. MFL is a registered investment adviser under Section 203 of the Investment Advisers Act of 1940, as amended. Magnetar Capital Partners LP (“MCP”), is the sole member and parent holding company of MFL. Supernova Management LLC (“Supernova”), is the sole general partner of MCP. The administrative manager of Supernova is David J.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address of the Magnetar Funds is 1603 Orrington Avenue, 13th Floor Evanston, IL 60201.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(13)Consists of (i) 54,484 Common Shares held as of the date of this prospectus and (ii) 153,253 Common Shares issuable upon exercise of Warrants. AQR Principal Global Asset Allocation LLC, a Delaware limited liability company, is the general partner of AQR Absolute Return Master Account, L.P., a Cayman Islands exempted limited partnership. AQR Apex MS GP, LLC, a Delaware limited liability company, is the general partner of AQR APEX MS Master Account, L.P., a Cayman Islands exempted limited partnership. AQR Corporate Arbitrage GP, LLC, a Delaware limited liability company, is the general partner of AQR Corporate Arbitrage Master Account, L.P., a Cayman Islands exempted limited partnership. AQR Capital Management GP, Ltd., a Cayman Islands company, is the general partner of AQR Global Alternative Investment Offshore Fund, L.P., a Cayman Islands exempted limited partnership. AQR Diversified Arbitrage Fund is a series of AQR Funds, a Delaware statutory trust registered as an open-end management investment company with the U.S. Securities and Exchange Commission. AQR Capital Management, LLC and AQR Arbitrage, LLC, each a Delaware limited liability company, act as investment adviser to AQR Absolute Return Master Account, L.P., AQR APEX MS Master Account, L.P., AQR Corporate Arbitrage Master Account, L.P., AQR Global Alternative Investment Offshore Fund, L.P. and AQR Funds - AQR Diversified Arbitrage Fund and have investment and dispositive power over the shares held by each of the funds.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AQR SPAC Opportunities GP, LLC, a Delaware limited liability company, is the general partner of AQR SPAC Opportunities Offshore Fund, L.P., a Cayman Islands exempted limited partnership. Todd Pulvino serves as the sole shareholder of AQR SPAC Opportunities Offshore Fund, L.P. Each of the parties in this footnote disclaims any beneficial ownership of the reported shares other than to the extent of any pecuniary interest the party may have therein. The address for these entities and individuals is One Greenwich Plaza, Suite 130, Greenwich, CT 06830.</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(14)Polar Multi Strategy Master Fund (“Polar Fund”) is under management by Polar Asset Management Partners Inc. (“PAMPI”). PAMPI serves as investment advisor of the Polar Fund and has control and discretion over the securities held by the Polar Fund. As such, PAMPI may be deemed the beneficial owner of the securities held by the Polar Fund. PAMPI disclaims any beneficial ownership of the reported securities other than to the extent of any pecuniary interest therein. The business address of the Polar Fund is c/o Polar Asset Management Partners Inc., 16 York Street, Suite 2900, Toronto, Ontario, M5J 0E6 Canada.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(15)Alberta Investment Management Corporation is established as an agent of the Crown in right of the Province of Alberta and manages funds on behalf of a diverse set of Alberta public sector clients for which it serves as investment manager. The address for Alberta Investment Management Corporation is 1600–10250 101 Street NW, Edmonton, Alberta T5J 3P4.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(16)Lee Robinson is director of the Selling Securityholder and shares voting and investment control with respect to the Common Shares held by the Selling Securityholder. The address for the selling securityholder is 175 Oxford Street, London W1D 2JS, UK, and its legal address is 190 Elgin Avenue, George Town, Grand Cayman, KY1-9001.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(17)Frederick V. Fortmiller, Jr., the Managing Member of the Investment Manager of Harraden Circle Investors, LP, Harraden Circle Special Opportunities, LP and Harraden Circle Concentrated, LP (collectively “Harraden Circle”), has voting and investment control of the Common Shares held by Harraden Circle and may be deemed to be the beneficial owner of such Common Shares. Frederick V. Fortmiller, Jr. disclaims any beneficial ownership of such securities. The registered business address of Harraden Circle is 885 Third Avenue, Suite 2600B, New York, NY 10022.</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(18)The business address of Picton Mahoney Arbitrage Fund, Picton Mahoney Arbitrage Plus Fund, Picton Mahoney Fortified Arbitrage Alternative Fund and Picton Mahoney Fortified Arbitrage Plus Alternative Fund (the “PICTON Funds”) is 33 Yonge Street, Suite 320, Toronto, ON M5E 1G4. Picton Mahoney Asset Management is the trustee on behalf of the PICTON Funds, has sole voting and dispositive power over the securities in its capacity as trustee or investment manager on behalf of the funds and may therefore be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deemed to beneficially own the securities held by each of the PICTON Funds, but disclaims any beneficial ownership of such securities except to the extent of its pecuniary interest therein.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(19)CSS, LLC is managed by Brian Bentley, Glenn McMillan and Clayton Struve. The registered business address of CSS, LLC is 1 North Wacker Drive, Suite 3075, Chicago, IL 60606.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(20)Todd Sikorski, President of K2 &amp; Associates Investment Management, Inc., the Manager of The K2 Principal Fund L.P., and Shawn Kimel, the beneficial owner of the entity that controls the General Partner of The K2 Principal Fund L.P., may be deemed to beneficially own the shares owned by the Selling Securityholder. The address of The K2 Principal Fund, L.P. is 2 Bloor Street West, Suite 801, Toronto, Ontario M4W 3E2 Canada.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(21)Charles E. Carnegie, as Chief Investment Officer of Context Capital Management, LLC, the investment adviser of Context Partners Master Fund, L.P., has voting and dispositive control over the securities held by Context Partners Master Fund, L.P., and may be deemed to be the beneficial owner of the securities held by Context Partners Master Fund, L.P. The address of the Selling Securityholder is 7724 Girard Ave, Suite 300, La Jolla, CA, 92037.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(22)Marlton Partners L.P. is a Chicago-based, privately held investment firm led by James C. Elbaor. Marlton, LLC is the managing member of Marlton Partners, L.P., and James C. Elbaor serves as managing member of Marlton, LLC. The business address of Marlton Partners, L.P. is 1358 N. State Pkwy Chicago IL 60610.</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(23)Voting and investment power over the interests by Nautilus Master Fund, L.P. (“Nautilus”) resides with its investment manager, Periscope Capital Inc. Jamie Wise is the Chief Executive Officer of Periscope Capital Inc. and may be deemed to be the beneficial owner of the interests held by Nautilus. Jamie Wise and Periscope Capital Inc., however, disclaim any beneficial ownership of the interests held by Nautilus. The address of the foregoing individual and entities is c/o 333 Bay Street, Suite 1240, Toronto, ON, M5H 2R2.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(24)Mr. Mark Angelo makes investment decisions for YA II PN, Ltd. The business address for YA II PN, Ltd. is 1012 Springfield Avenue, Mountainside, NJ 07092.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(25)Consists of (i) 243,060 Common Shares held as of the date of this prospectus and (ii) 2,250 Common Shares issuable upon exercise of Warrants. Sona Blue Peak, Ltd.’s registered business address is Maples Corporate Services Limited, PO Box 309, Ugland House, Grand Cayman, KY1-1104, Cayman Islands.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(26)Sona Capital Solutions II SCSp’s registered business address is 20, rue de la Poste, Luxembourg, L-2346, Grand Duchy of Luxembourg.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Resales of Kyivstar Group Ltd. Common Shares by Selling Securityholders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registering the possible resale by the Selling Securityholders of up to 196,241,664 Common Shares. The prospectus also covers any additional securities that may become issuable by reason of share splits, share dividends or similar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any sale by the Selling Securityholders of the Common Shares being registered hereunder, including the sale of any Common Shares by VEON Amsterdam. 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which, as used herein, includes donees, pledgees, transferees or other successors-in-interest selling Common Shares received after the date of this prospectus from a Selling Securityholder as a gift, pledge, partnership distribution or other transfer, may, from time to time, sell, transfer or otherwise dispose of any or all of their Common Shares on any stock exchange, market or trading facility on which the Common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use any one or more of the following methods when disposing of Common Shares:</w:t>
      </w:r>
    </w:p>
    <w:p>
      <w:pPr>
        <w:pStyle w:val="TextBody"/>
        <w:bidi w:val="0"/>
        <w:spacing w:before="0" w:after="0"/>
        <w:jc w:val="both"/>
        <w:rPr/>
      </w:pPr>
      <w:r>
        <w:rPr/>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block trades in which the broker-dealer will attempt to sell the Common Shares as agent, but may position and resell a portion of the block as principal to facilitate the transaction;</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purchases by a broker-dealer as principal and resale by the broker-dealer for their account;</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privately negotiated transactions (including, without limitation, in connection with privately negotiated acquisitions, dispositions, mergers, business combinations, joint ventures or other similar transactions);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through one or more underwritten offerings on a firm commitment or best efforts basis;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settlement of short sales entered into after the date of this prospectus;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broker-dealers may agree with the Selling Securityholders to sell a specified number of such Common Shares at a stipulated price per share;</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any other method permitted by applicable law.</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Securityholders may, from time to time, pledge or grant a security interest in some or all of the Common Shares owned by them and, if they default in the performance of their secured obligations, the pledgees or secured parties may offer and sell the Common Shares, from time to time, under a supplement to this prospectus or under a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post-effective amendment to the registration statement of which this prospectus is a part, amending the list of Selling Securityholders to include the pledgee, transferee or other successors in interest as Selling Securityholders under this prospectus. The Selling Securityholders also may transfer the Common Shares in other circumstances, in which case the transferees, pledgees or other successors in interest will be the selling beneficial owners for purposes of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Common Shares, the Selling Securityholders may enter into hedging transactions with broker-dealers or other financial institutions, which may in turn engage in short sales of the Warrants or Common Shares in the course of hedging the positions they assume. The Selling Securityholders may also sell the Common Shares short and deliver these securities to close out their short positions, or loan or pledge the Common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Common Shares offered by this prospectus, which the Common Shares such broker-dealer or other financial institution may resell pursuant to this prospectus (as supplemented or amended to reflect such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solicit offers to purchase the securities directly from, and they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The Common Shares are currently listed on Nasdaq under the symbol “KYIV,” and the Warrants are currently listed on Nasdaq under the symbol “KYIVW.”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Selling Securityholders reserves the right to accept and, together with their agents from time to time, to reject, in whole or in part, any proposed purchase of the Common Shares to be made directly or through agents. We will not receive any of the proceeds from this offering.</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and any underwriters, broker-dealers or agents that participate in the sale of the Common Shares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required, Common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states, if applicable, the Common Shares may be sold in these jurisdictions only through registered or licensed brokers or dealers. In addition, in some states the Common Shares may not be sold unless they have been registered or qualified for sale or an exemption from registration or qualification requirements is available and is complied with.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and any other persons participating in the sale or distribution of the securities will be subject to the applicable rules of the Securities Act and the Exchange Act, and the rules and regulations thereunder, including, without limitation, rules of Regulation M. These provisions may restrict certain activities of, and limit the timing of purchases and sales of any of the securities by, the Selling Securityholders or any other person, which limitations may affect the marketability of the shares of the securities.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the Selling Securityholders against liabilities, including liabilities under the Securities Act and state securities laws, relating to the registration of the Common Shares and Warrants offered by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agreed with each Selling Securityholder to keep the registration statement of which this prospectus constitutes a part effective until the earlier of, among other things, (a) the term specified in relation to the registration rights granted to such Selling Securityholder and (b) the date on which such Selling Securityholder ceases to hold any of the Common Shares covered by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Shares Issuable Upon Exercise of Kyivstar Group Ltd.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Common Shares issuable upon exercise of our Warrants will be issued directly to holders of our Warrants upon surrender of the Warrant certificate on or prior to their expiration at 5:00 p.m., New York City time on August 14, 2030, at the offices of the warrant agent, Continental Stock Transfer &amp; Trust Company, with the exercise form on the reverse side of the Warrant certificate completed and executed as indicated, accompanied by full payment of the exercise price, by certified or official bank check payable to us, for the number of Warrants being exercised.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validity of the securities being registered hereby and certain other matters of Bermuda law will be passed upon for us by Wakefield Quin Limited, as Bermuda counsel to the Company. Certain matters of U.S. federal law will be passed upon for us by Sidley Austin LLP. Additional legal matters may be passed upon for us or any underwriters, dealers or agents, by counsel that we will name in the applicable prospectus supplement.</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audited consolidated financial statements of Kyivstar Group Ltd. as of December 31, 2025 and 2024, and for each of the three years in the period ended December 31, 2025, incorporated in this prospectus by reference to the Annual Report on Form 20-F for the year ended December 31, 2025, have been so incorporated in reliance on the report (which includes an explanatory paragraph as to the ability of Kyivstar Group Ltd. to continue as a going concern as described in Note 1 to the financial statements) of UHY LLP, independent registered public accounting firm, given on the authority of such firm as experts in auditing and accounting.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INDEMNIFICATION FOR SECURITIES ACT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ENFORCEMENT OF CIVIL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incorporated and existing under the laws of Bermuda. Certain individuals, who may be directors and executive officers of Kyivstar Group Ltd. reside outside of the United States, and all or a substantial portion of the assets of such individuals and of Kyivstar Group Ltd. are located outside of the United States. As a result, it may not be possible to effect service of process within the United States upon such individuals or Kyivstar Group Ltd., or to enforce against such individuals or Kyivstar Group Ltd. in United States courts judgments obtained in such courts predicated upon the civil liability provisions of the federal securities laws of the United States. Kyivstar Group Ltd. has been advised by counsel that there is doubt as to the enforceability in Bermuda, in original actions or in actions for the enforcement of judgments of United States courts, of liabilities predicated solely upon the securities laws of the United States or enforcement of claims for punitive damages.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statement of expenses in connection with the distribution of the securities registered. All amounts shown are estimates except the SEC registration fee. The estimates do not include expenses related to offerings of particular securities, including any underwriting discounts and commissions. Each prospectus supplement describing an offering of securities will reflect the estimated expenses related to the offering of securities under that prospectus supplement.</w:t>
      </w:r>
    </w:p>
    <w:p>
      <w:pPr>
        <w:pStyle w:val="TextBody"/>
        <w:bidi w:val="0"/>
        <w:spacing w:lineRule="auto" w:line="288" w:before="0" w:after="0"/>
        <w:jc w:val="left"/>
        <w:rPr>
          <w:color w:val="000000"/>
        </w:rPr>
      </w:pPr>
      <w:r>
        <w:rPr>
          <w:color w:val="000000"/>
        </w:rPr>
        <w:t> </w:t>
      </w:r>
    </w:p>
    <w:tbl>
      <w:tblPr>
        <w:tblW w:w="8101" w:type="dxa"/>
        <w:jc w:val="left"/>
        <w:tblInd w:w="0" w:type="dxa"/>
        <w:tblLayout w:type="fixed"/>
        <w:tblCellMar>
          <w:top w:w="28" w:type="dxa"/>
          <w:left w:w="28" w:type="dxa"/>
          <w:bottom w:w="28" w:type="dxa"/>
          <w:right w:w="28" w:type="dxa"/>
        </w:tblCellMar>
      </w:tblPr>
      <w:tblGrid>
        <w:gridCol w:w="681"/>
        <w:gridCol w:w="596"/>
        <w:gridCol w:w="596"/>
        <w:gridCol w:w="596"/>
        <w:gridCol w:w="596"/>
        <w:gridCol w:w="622"/>
        <w:gridCol w:w="109"/>
        <w:gridCol w:w="109"/>
        <w:gridCol w:w="109"/>
        <w:gridCol w:w="130"/>
        <w:gridCol w:w="130"/>
        <w:gridCol w:w="130"/>
        <w:gridCol w:w="344"/>
        <w:gridCol w:w="344"/>
        <w:gridCol w:w="34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accounting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and transfer agent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 calculation of these fees and expenses is dependent on the number of issuances and amount of securities offered and, accordingly, cannot be estimated at this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will be deemed to incorporate by reference the following documents:</w:t>
      </w:r>
    </w:p>
    <w:p>
      <w:pPr>
        <w:pStyle w:val="TextBody"/>
        <w:bidi w:val="0"/>
        <w:spacing w:before="0" w:after="0"/>
        <w:jc w:val="both"/>
        <w:rPr/>
      </w:pPr>
      <w:r>
        <w:rPr/>
      </w:r>
    </w:p>
    <w:p>
      <w:pPr>
        <w:pStyle w:val="TextBody"/>
        <w:bidi w:val="0"/>
        <w:spacing w:lineRule="auto" w:line="288" w:before="0" w:after="0"/>
        <w:ind w:left="0" w:right="0" w:hanging="473"/>
        <w:jc w:val="both"/>
        <w:rPr/>
      </w:pPr>
      <w:r>
        <w:rPr>
          <w:color w:val="000000"/>
        </w:rPr>
        <w:t>•</w:t>
      </w:r>
      <w:r>
        <w:rPr>
          <w:rFonts w:ascii="Times New Roman;serif" w:hAnsi="Times New Roman;serif"/>
          <w:b w:val="false"/>
          <w:color w:val="000000"/>
          <w:sz w:val="20"/>
        </w:rPr>
        <w:t>our Annual Report on Form 20-F for the year ended December 31, 2025 filed with the SEC on March 16, 2026;</w:t>
      </w:r>
    </w:p>
    <w:p>
      <w:pPr>
        <w:pStyle w:val="TextBody"/>
        <w:bidi w:val="0"/>
        <w:spacing w:lineRule="auto" w:line="288" w:before="60" w:after="283"/>
        <w:ind w:left="0" w:right="0" w:hanging="471"/>
        <w:jc w:val="both"/>
        <w:rPr/>
      </w:pPr>
      <w:r>
        <w:rPr>
          <w:color w:val="000000"/>
        </w:rPr>
        <w:t>•</w:t>
      </w:r>
      <w:r>
        <w:rPr>
          <w:rFonts w:ascii="Times New Roman;serif" w:hAnsi="Times New Roman;serif"/>
          <w:b w:val="false"/>
          <w:color w:val="000000"/>
          <w:sz w:val="20"/>
        </w:rPr>
        <w:t>our Current Reports on Form 6-K furnished to the SEC on May 12, 2026, May 14, 2026, May 26, 2026, May 26, 2026, May 28, 2026 and July 31, 2026; and</w:t>
      </w:r>
    </w:p>
    <w:p>
      <w:pPr>
        <w:pStyle w:val="TextBody"/>
        <w:bidi w:val="0"/>
        <w:spacing w:lineRule="auto" w:line="288" w:before="60" w:after="283"/>
        <w:ind w:left="0" w:right="0" w:hanging="471"/>
        <w:jc w:val="both"/>
        <w:rPr/>
      </w:pPr>
      <w:r>
        <w:rPr>
          <w:color w:val="000000"/>
        </w:rPr>
        <w:t>•</w:t>
      </w:r>
      <w:r>
        <w:rPr>
          <w:rFonts w:ascii="Times New Roman;serif" w:hAnsi="Times New Roman;serif"/>
          <w:b w:val="false"/>
          <w:color w:val="000000"/>
          <w:sz w:val="20"/>
        </w:rPr>
        <w:t>the description of our securities contained in Exhibit 2.5 to our Annual Report on Form 20-F for the year ended December 31, 2025, filed with the SEC on March 16, 2026, including any amendment or report filed with the SEC for the purpose of updating such description.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Kyivstar Group Ltd.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 517, Level 5, Index Tower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Dubai International Financial Centre (DIFC), United Arab Emirates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 +971 4 433 1145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Alternatively, copies of these documents are available via our website (</w:t>
      </w:r>
      <w:r>
        <w:rPr>
          <w:rFonts w:ascii="Times New Roman;serif" w:hAnsi="Times New Roman;serif"/>
          <w:b w:val="false"/>
          <w:i/>
          <w:color w:val="000000"/>
          <w:sz w:val="20"/>
        </w:rPr>
        <w:t>https://investors.kyivstar.ua</w:t>
      </w:r>
      <w:r>
        <w:rPr>
          <w:rFonts w:ascii="Times New Roman;serif" w:hAnsi="Times New Roman;serif"/>
          <w:b w:val="false"/>
          <w:color w:val="000000"/>
          <w:sz w:val="20"/>
        </w:rPr>
        <w:t>), or as described under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below. The information contained on, or that may be accessed through, our website is not part of, and is not incorporated by reference into, this prospectus.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4"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filed a registration statement on Form F-3, of which this prospectus forms a part, including exhibits, under the Securities Act with respect to the Common Shares offered by this prospectus. The registration statement on Form F-3, including the attached exhibits and schedules, contains additional relevant information about us and our shares. The rules and regulations of the SEC allow us to omit from this prospectus certain information included in the registration statement. For further information about us and the securities offered by this prospectus, you should refer to the registration statement and the exhibits and schedules filed with the registration statement and the information incorporated by reference herein.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subject to the information requirements of the Exchange Act that are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also maintain an Internet website at </w:t>
      </w:r>
      <w:r>
        <w:rPr>
          <w:rFonts w:ascii="Times New Roman;serif" w:hAnsi="Times New Roman;serif"/>
          <w:b w:val="false"/>
          <w:i/>
          <w:color w:val="000000"/>
          <w:sz w:val="20"/>
        </w:rPr>
        <w:t>https://investors.kyivstar.ua</w:t>
      </w:r>
      <w:r>
        <w:rPr>
          <w:rFonts w:ascii="Times New Roman;serif" w:hAnsi="Times New Roman;serif"/>
          <w:b w:val="false"/>
          <w:color w:val="000000"/>
          <w:sz w:val="20"/>
        </w:rPr>
        <w:t>. Through our website, we will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foreign private issuer, we are exempt under the Exchange Act from rules prescribing the furnishing and content of proxy statements, and our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5"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SHARES</w:t>
      </w:r>
    </w:p>
    <w:p>
      <w:pPr>
        <w:pStyle w:val="TextBody"/>
        <w:bidi w:val="0"/>
        <w:spacing w:lineRule="auto" w:line="288" w:before="0" w:after="0"/>
        <w:jc w:val="center"/>
        <w:rPr/>
      </w:pPr>
      <w:r>
        <w:rPr>
          <w:color w:val="000000"/>
        </w:rPr>
        <w:t> </w:t>
      </w:r>
      <w:r>
        <w:rPr/>
        <w:drawing>
          <wp:inline distT="0" distB="0" distL="0" distR="0">
            <wp:extent cx="2590800" cy="1419225"/>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3"/>
                    <a:stretch>
                      <a:fillRect/>
                    </a:stretch>
                  </pic:blipFill>
                  <pic:spPr bwMode="auto">
                    <a:xfrm>
                      <a:off x="0" y="0"/>
                      <a:ext cx="2590800" cy="141922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7"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Indemnification of Directors and Officers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Kyivstar Group Ltd.’s Bye-Laws, Kyivstar Group Ltd. will indemnify and hold harmless its directors and senior managers from and against all actions, costs, charges, liabilities, losses, damages and expenses in connection with any act done, concurred in or omitted in the execution of its business, or their duty, or supposed duty, or in their respective offices or trusts, to the extent authorized by law. The foregoing indemnity will not apply (and any funds advanced will be required to be repaid) with respect to a director or officer if any allegation of fraud or dishonesty is proved against such director or officer. Kyivstar Group Ltd. has entered into separate indemnification agreements with certain of its directors and senior managers pursuant to which Kyivstar Group Ltd. has agreed to indemnify each of them within substantially the same scope as provided in the Kyivstar Group Ltd. Bye-Laws.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58"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registration statement on Form F-3:</w:t>
      </w:r>
    </w:p>
    <w:tbl>
      <w:tblPr>
        <w:tblW w:w="10205" w:type="dxa"/>
        <w:jc w:val="left"/>
        <w:tblInd w:w="0" w:type="dxa"/>
        <w:tblLayout w:type="fixed"/>
        <w:tblCellMar>
          <w:top w:w="28" w:type="dxa"/>
          <w:left w:w="28" w:type="dxa"/>
          <w:bottom w:w="28" w:type="dxa"/>
          <w:right w:w="28" w:type="dxa"/>
        </w:tblCellMar>
      </w:tblPr>
      <w:tblGrid>
        <w:gridCol w:w="253"/>
        <w:gridCol w:w="221"/>
        <w:gridCol w:w="223"/>
        <w:gridCol w:w="109"/>
        <w:gridCol w:w="109"/>
        <w:gridCol w:w="109"/>
        <w:gridCol w:w="109"/>
        <w:gridCol w:w="109"/>
        <w:gridCol w:w="109"/>
        <w:gridCol w:w="1627"/>
        <w:gridCol w:w="1318"/>
        <w:gridCol w:w="1334"/>
        <w:gridCol w:w="109"/>
        <w:gridCol w:w="109"/>
        <w:gridCol w:w="109"/>
        <w:gridCol w:w="170"/>
        <w:gridCol w:w="170"/>
        <w:gridCol w:w="171"/>
        <w:gridCol w:w="109"/>
        <w:gridCol w:w="109"/>
        <w:gridCol w:w="109"/>
        <w:gridCol w:w="241"/>
        <w:gridCol w:w="241"/>
        <w:gridCol w:w="220"/>
        <w:gridCol w:w="109"/>
        <w:gridCol w:w="109"/>
        <w:gridCol w:w="109"/>
        <w:gridCol w:w="109"/>
        <w:gridCol w:w="109"/>
        <w:gridCol w:w="109"/>
        <w:gridCol w:w="210"/>
        <w:gridCol w:w="210"/>
        <w:gridCol w:w="211"/>
        <w:gridCol w:w="109"/>
        <w:gridCol w:w="109"/>
        <w:gridCol w:w="109"/>
        <w:gridCol w:w="109"/>
        <w:gridCol w:w="109"/>
        <w:gridCol w:w="109"/>
        <w:gridCol w:w="267"/>
        <w:gridCol w:w="205"/>
        <w:gridCol w:w="297"/>
      </w:tblGrid>
      <w:tr>
        <w:trPr/>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6"/>
                <w:b w:val="false"/>
                <w:rFonts w:ascii="Times New Roman;serif" w:hAnsi="Times New Roman;serif"/>
                <w:color w:val="000000"/>
              </w:rPr>
              <w:instrText xml:space="preserve"> HYPERLINK "https://www.sec.gov/Archives/edgar/data/2062440/000121390025051575/ea0238603-02.htm" \l "T771"</w:instrText>
            </w:r>
            <w:r>
              <w:rPr>
                <w:rStyle w:val="InternetLink"/>
                <w:sz w:val="16"/>
                <w:b w:val="false"/>
                <w:rFonts w:ascii="Times New Roman;serif" w:hAnsi="Times New Roman;serif"/>
                <w:color w:val="000000"/>
              </w:rPr>
              <w:fldChar w:fldCharType="separate"/>
            </w:r>
            <w:r>
              <w:rPr>
                <w:rStyle w:val="InternetLink"/>
                <w:rFonts w:ascii="Times New Roman;serif" w:hAnsi="Times New Roman;serif"/>
                <w:b w:val="false"/>
                <w:color w:val="000000"/>
                <w:sz w:val="16"/>
              </w:rPr>
              <w:t>Business Combination Agreement, dated as of March 18, 2025, by and among Cohen Circle Acquisition Corp. I, Kyivstar Group Ltd., VEON Amsterdam B.V., VEON Holdings B.V. and Varna Merger Sub Corp.</w:t>
            </w:r>
            <w:r>
              <w:rPr>
                <w:rStyle w:val="InternetLink"/>
                <w:sz w:val="16"/>
                <w:b w:val="false"/>
                <w:rFonts w:ascii="Times New Roman;serif" w:hAnsi="Times New Roman;serif"/>
                <w:color w:val="00000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16"/>
                </w:rPr>
                <w:t>Amendment No. 1 to Business Combination Agreement, dated as of June 24, 2025, by and among Cohen Circle Acquisition Corp. I, Kyivstar Group Ltd., VEON Amsterdam B.V., VEON Holdings B.V., and Varna Merger Sub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24,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00"/>
                  <w:sz w:val="16"/>
                </w:rPr>
                <w:t>Amendment No. 2 to Business Combination Agreement, dated as of July 10, 2025, by and among Cohen Circle Acquisition Corp. I, Kyivstar Group Ltd., VEON Amsterdam B.V., VEON Holdings B.V., and Varna Merger Sub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10,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00"/>
                  <w:sz w:val="16"/>
                </w:rPr>
                <w:t>Certificate of Incorporation and Memorandum of Association of Kyivstar Group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16"/>
                </w:rPr>
                <w:t>Bye-Laws of Kyivstar Group Ltd.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001-42804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00"/>
                  <w:sz w:val="16"/>
                </w:rPr>
                <w:t>Specimen Common Share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24,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00"/>
                  <w:sz w:val="16"/>
                </w:rPr>
                <w:t>Specimen Kyivstar Group Ltd.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24,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00"/>
                  <w:sz w:val="16"/>
                </w:rPr>
                <w:t>Warrant Agreement, dated as of October 10, 2024, between Cohen Circle Acquisition Corp. I and the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00"/>
                  <w:sz w:val="16"/>
                </w:rPr>
                <w:t>Assignment and Assumption and Amendment and Restatement of Warrant Agreement, dated as of August 14, 2025, for Cohen Circle’s outstanding warrants.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001-42804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ermudalegalopinionf-3re.htm">
              <w:r>
                <w:rPr>
                  <w:rStyle w:val="InternetLink"/>
                  <w:rFonts w:ascii="Times New Roman;serif" w:hAnsi="Times New Roman;serif"/>
                  <w:b w:val="false"/>
                  <w:color w:val="000000"/>
                  <w:sz w:val="16"/>
                </w:rPr>
                <w:t>Opinion of Wakefield Quin Limited as to the validity of common shares of Kyivstar Group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b w:val="false"/>
                <w:rFonts w:ascii="Times New Roman;serif" w:hAnsi="Times New Roman;serif"/>
                <w:color w:val="000000"/>
              </w:rPr>
              <w:instrText xml:space="preserve"> HYPERLINK "http://www.sec.gov/Archives/edgar/data/2062440/000121390025051575/ea0238603-02.htm" \l "T773"</w:instrText>
            </w:r>
            <w:r>
              <w:rPr>
                <w:rStyle w:val="InternetLink"/>
                <w:sz w:val="16"/>
                <w:b w:val="false"/>
                <w:rFonts w:ascii="Times New Roman;serif" w:hAnsi="Times New Roman;serif"/>
                <w:color w:val="000000"/>
              </w:rPr>
              <w:fldChar w:fldCharType="separate"/>
            </w:r>
            <w:r>
              <w:rPr>
                <w:rStyle w:val="InternetLink"/>
                <w:rFonts w:ascii="Times New Roman;serif" w:hAnsi="Times New Roman;serif"/>
                <w:b w:val="false"/>
                <w:color w:val="000000"/>
                <w:sz w:val="16"/>
              </w:rPr>
              <w:t>Sponsor Agreement, dated as of March 18, 2025, by and among Cohen Circle Acquisition Corp. I, Kyivstar Group Ltd., Cohen Circle Sponsor I, LLC, Cohen Circle Advisors I, LLC, Cantor Fitzgerald &amp; Co., and VEON Amsterdam B.V.</w:t>
            </w:r>
            <w:r>
              <w:rPr>
                <w:rStyle w:val="InternetLink"/>
                <w:sz w:val="16"/>
                <w:b w:val="false"/>
                <w:rFonts w:ascii="Times New Roman;serif" w:hAnsi="Times New Roman;serif"/>
                <w:color w:val="00000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00"/>
                  <w:sz w:val="16"/>
                </w:rPr>
                <w:t>Amendment No. 1 to Sponsor Agreement, dated as of July 10, 2025, by and among Cohen Circle Acquisition Corp. I, Kyivstar Group Ltd., Cohen Circle Sponsor I, LLC, Cohen Circle Advisors I, LLC, Cantor Fitzgerald &amp; Co., and VEON Amsterdam B.V.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10,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00"/>
                  <w:sz w:val="16"/>
                </w:rPr>
                <w:t>Registration Rights Agreement, by and among Kyivstar Group Ltd. and the other parties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001-42804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80"/>
                  <w:sz w:val="16"/>
                </w:rPr>
                <w:t>Master Lease Agreement, dated as of August 25, 2021, by and among JSC Kyivstar and Ukraine Tower Company LLC (English-language translation)</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80"/>
                  <w:sz w:val="16"/>
                </w:rPr>
                <w:t>Framework Agreement for Sale and Purchase of Equipment, dated as of August 20, 2021, by and among JSC Kyivstar and Ukraine Tower Company LLC (English-language translation)</w:t>
              </w:r>
            </w:hyperlink>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5,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80"/>
                  <w:sz w:val="16"/>
                </w:rPr>
                <w:t>Form of Indemnification Agreement</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001-42804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16, 2026</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80"/>
                  <w:sz w:val="16"/>
                </w:rPr>
                <w:t>Form of Non-Redemption Agreement</w:t>
              </w:r>
            </w:hyperlink>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10, 2025</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80"/>
                  <w:sz w:val="16"/>
                </w:rPr>
                <w:t>Umbrella Share Plan Rules</w:t>
              </w:r>
            </w:hyperlink>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001-42804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16, 2026</w:t>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uhyconsentedgarversion-kgl.htm">
              <w:r>
                <w:rPr>
                  <w:rStyle w:val="InternetLink"/>
                  <w:rFonts w:ascii="Times New Roman;serif" w:hAnsi="Times New Roman;serif"/>
                  <w:b w:val="false"/>
                  <w:color w:val="000000"/>
                  <w:sz w:val="16"/>
                </w:rPr>
                <w:t>Consent of UHY LLP (independent registered public accountant).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ermudalegalopinionf-3re.htm">
              <w:r>
                <w:rPr>
                  <w:rStyle w:val="InternetLink"/>
                  <w:rFonts w:ascii="Times New Roman;serif" w:hAnsi="Times New Roman;serif"/>
                  <w:b w:val="false"/>
                  <w:color w:val="000000"/>
                  <w:sz w:val="16"/>
                </w:rPr>
                <w:t>Consent of Wakefield Quin Limited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b1273d8e64f4fbd9f7e4cf71fccc178_552">
              <w:r>
                <w:rPr>
                  <w:rStyle w:val="InternetLink"/>
                  <w:rFonts w:ascii="Times New Roman;serif" w:hAnsi="Times New Roman;serif"/>
                  <w:b w:val="false"/>
                  <w:color w:val="0000FF"/>
                  <w:sz w:val="16"/>
                  <w:u w:val="single"/>
                </w:rPr>
                <w:t>Powers of Attorney (included on the signature page to this registration statement).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80"/>
                  <w:sz w:val="16"/>
                  <w:u w:val="single"/>
                </w:rPr>
                <w:t>Filing Fee Table</w:t>
              </w:r>
            </w:hyperlink>
            <w:hyperlink w:anchor="exfilingfees.htm">
              <w:r>
                <w:rPr>
                  <w:rStyle w:val="InternetLink"/>
                  <w:rFonts w:ascii="Times New Roman;serif" w:hAnsi="Times New Roman;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jc w:val="left"/>
        <w:rPr/>
      </w:pPr>
      <w:r>
        <w:rPr>
          <w:color w:val="000000"/>
        </w:rPr>
        <w:t xml:space="preserve">† </w:t>
      </w:r>
      <w:r>
        <w:rPr>
          <w:rFonts w:ascii="Times New Roman;serif" w:hAnsi="Times New Roman;serif"/>
          <w:b w:val="false"/>
          <w:color w:val="000000"/>
          <w:sz w:val="16"/>
        </w:rPr>
        <w:t>Certain portions of this exhibit (indicated by “[***]”) have been redacted pursuant to Regulation S-K, Item 601(a)(6).</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59"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Certain of the schedules and attachments to this exhibit have been omitted pursuant to Regulation S-K, Item 601(a)(5). The registrant hereby undertakes to provide further information regarding such omitted materials to the SEC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w:t>
      </w:r>
    </w:p>
    <w:p>
      <w:pPr>
        <w:pStyle w:val="TextBody"/>
        <w:bidi w:val="0"/>
        <w:spacing w:before="0" w:after="0"/>
        <w:jc w:val="left"/>
        <w:rPr/>
      </w:pPr>
      <w:r>
        <w:rPr/>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60"/>
        <w:ind w:left="0" w:right="0" w:hanging="360"/>
        <w:jc w:val="both"/>
        <w:rPr/>
      </w:pPr>
      <w:r>
        <w:rPr>
          <w:rFonts w:ascii="Times New Roman;serif" w:hAnsi="Times New Roman;serif"/>
          <w:b w:val="false"/>
          <w:color w:val="000000"/>
          <w:sz w:val="20"/>
        </w:rPr>
        <w:t xml:space="preserve">(2)That,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60"/>
        <w:ind w:left="0" w:right="0" w:hanging="360"/>
        <w:jc w:val="both"/>
        <w:rPr/>
      </w:pPr>
      <w:r>
        <w:rPr>
          <w:rFonts w:ascii="Times New Roman;serif" w:hAnsi="Times New Roman;serif"/>
          <w:b w:val="false"/>
          <w:color w:val="000000"/>
          <w:sz w:val="20"/>
        </w:rPr>
        <w:t xml:space="preserve">(4)To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under the Securities Act to any purchaser:</w:t>
      </w:r>
    </w:p>
    <w:p>
      <w:pPr>
        <w:pStyle w:val="TextBody"/>
        <w:bidi w:val="0"/>
        <w:spacing w:lineRule="auto" w:line="288" w:before="0" w:after="60"/>
        <w:ind w:left="0" w:right="0" w:hanging="437"/>
        <w:jc w:val="both"/>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60"/>
        <w:ind w:left="0" w:right="0" w:hanging="437"/>
        <w:jc w:val="both"/>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6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shd w:fill="FFFFFF" w:val="clear"/>
        </w:rPr>
        <w:t xml:space="preserve">That, for the purpose of determining liability of the registrant under the Securities Act to any purchaser in the initial distribution of the securities: The undersigned registrant undertakes that in a primary offering of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0"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60"/>
        <w:ind w:left="0" w:right="0" w:hanging="437"/>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any preliminary prospectus or prospectus of the undersigned registrant relating to the offering required to be filed pursuant to Rule 424;</w:t>
      </w:r>
    </w:p>
    <w:p>
      <w:pPr>
        <w:pStyle w:val="TextBody"/>
        <w:bidi w:val="0"/>
        <w:spacing w:lineRule="auto" w:line="288" w:before="0" w:after="60"/>
        <w:ind w:left="0" w:right="0" w:hanging="437"/>
        <w:jc w:val="both"/>
        <w:rPr/>
      </w:pPr>
      <w:r>
        <w:rPr>
          <w:rFonts w:ascii="Times New Roman;serif" w:hAnsi="Times New Roman;serif"/>
          <w:b w:val="false"/>
          <w:color w:val="000000"/>
          <w:sz w:val="20"/>
        </w:rPr>
        <w:t>(ii)</w:t>
      </w:r>
      <w:r>
        <w:rPr>
          <w:rFonts w:ascii="Times New Roman;serif" w:hAnsi="Times New Roman;serif"/>
          <w:b w:val="false"/>
          <w:color w:val="000000"/>
          <w:sz w:val="20"/>
          <w:shd w:fill="FFFFFF" w:val="clear"/>
        </w:rPr>
        <w:t>any free writing prospectus relating to the offering prepared by or on behalf of the undersigned registrant or used or referred to by the undersigned registrant;</w:t>
      </w:r>
    </w:p>
    <w:p>
      <w:pPr>
        <w:pStyle w:val="TextBody"/>
        <w:bidi w:val="0"/>
        <w:spacing w:lineRule="auto" w:line="288" w:before="0" w:after="60"/>
        <w:ind w:left="0" w:right="0" w:hanging="437"/>
        <w:jc w:val="both"/>
        <w:rPr/>
      </w:pPr>
      <w:r>
        <w:rPr>
          <w:rFonts w:ascii="Times New Roman;serif" w:hAnsi="Times New Roman;serif"/>
          <w:b w:val="false"/>
          <w:color w:val="000000"/>
          <w:sz w:val="20"/>
        </w:rPr>
        <w:t>(iii)</w:t>
      </w:r>
      <w:r>
        <w:rPr>
          <w:rFonts w:ascii="Times New Roman;serif" w:hAnsi="Times New Roman;serif"/>
          <w:b w:val="false"/>
          <w:color w:val="000000"/>
          <w:sz w:val="20"/>
          <w:shd w:fill="FFFFFF" w:val="clear"/>
        </w:rPr>
        <w:t>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60"/>
        <w:ind w:left="0" w:right="0" w:hanging="437"/>
        <w:jc w:val="both"/>
        <w:rPr/>
      </w:pPr>
      <w:r>
        <w:rPr>
          <w:rFonts w:ascii="Times New Roman;serif" w:hAnsi="Times New Roman;serif"/>
          <w:b w:val="false"/>
          <w:color w:val="000000"/>
          <w:sz w:val="20"/>
        </w:rPr>
        <w:t>(iv)</w:t>
      </w:r>
      <w:r>
        <w:rPr>
          <w:rFonts w:ascii="Times New Roman;serif" w:hAnsi="Times New Roman;serif"/>
          <w:b w:val="false"/>
          <w:color w:val="000000"/>
          <w:sz w:val="20"/>
          <w:shd w:fill="FFFFFF" w:val="clear"/>
        </w:rPr>
        <w:t>any other communication that is an offer in the offering made by the undersigned registrant to the purchaser.</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1"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Dubai International Financial Centre, United Arab Emirates, on August 31, 2026.</w:t>
      </w:r>
    </w:p>
    <w:p>
      <w:pPr>
        <w:pStyle w:val="TextBody"/>
        <w:bidi w:val="0"/>
        <w:spacing w:before="0" w:after="0"/>
        <w:jc w:val="both"/>
        <w:rPr/>
      </w:pPr>
      <w:r>
        <w:rPr/>
      </w:r>
    </w:p>
    <w:p>
      <w:pPr>
        <w:pStyle w:val="TextBody"/>
        <w:bidi w:val="0"/>
        <w:spacing w:lineRule="auto" w:line="288" w:before="0" w:after="0"/>
        <w:jc w:val="both"/>
        <w:rPr/>
      </w:pPr>
      <w:r>
        <w:rPr>
          <w:color w:val="231F20"/>
        </w:rPr>
        <w:t>                        </w:t>
      </w:r>
      <w:r>
        <w:rPr>
          <w:rFonts w:ascii="Times New Roman;serif" w:hAnsi="Times New Roman;serif"/>
          <w:b/>
          <w:color w:val="231F20"/>
          <w:sz w:val="20"/>
        </w:rPr>
        <w:t>KYIVSTAR GROUP LTD.</w:t>
      </w:r>
    </w:p>
    <w:p>
      <w:pPr>
        <w:pStyle w:val="TextBody"/>
        <w:bidi w:val="0"/>
        <w:spacing w:before="0" w:after="0"/>
        <w:jc w:val="left"/>
        <w:rPr/>
      </w:pPr>
      <w:r>
        <w:rPr/>
      </w:r>
    </w:p>
    <w:tbl>
      <w:tblPr>
        <w:tblW w:w="3509" w:type="dxa"/>
        <w:jc w:val="left"/>
        <w:tblInd w:w="0" w:type="dxa"/>
        <w:tblLayout w:type="fixed"/>
        <w:tblCellMar>
          <w:top w:w="28" w:type="dxa"/>
          <w:left w:w="28" w:type="dxa"/>
          <w:bottom w:w="28" w:type="dxa"/>
          <w:right w:w="28" w:type="dxa"/>
        </w:tblCellMar>
      </w:tblPr>
      <w:tblGrid>
        <w:gridCol w:w="232"/>
        <w:gridCol w:w="205"/>
        <w:gridCol w:w="208"/>
        <w:gridCol w:w="838"/>
        <w:gridCol w:w="838"/>
        <w:gridCol w:w="1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Kaan Terzioğlu</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Kaan Terzioğlu</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Director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POWER OF ATTORNEY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does hereby constitute and appoint Kaan Terzioğlu and Taner Kızıltoprak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substitute or substitutes, may lawfully do or cause to be done by virtue 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25" w:type="dxa"/>
        <w:jc w:val="left"/>
        <w:tblInd w:w="0" w:type="dxa"/>
        <w:tblLayout w:type="fixed"/>
        <w:tblCellMar>
          <w:top w:w="28" w:type="dxa"/>
          <w:left w:w="28" w:type="dxa"/>
          <w:bottom w:w="28" w:type="dxa"/>
          <w:right w:w="28" w:type="dxa"/>
        </w:tblCellMar>
      </w:tblPr>
      <w:tblGrid>
        <w:gridCol w:w="1057"/>
        <w:gridCol w:w="928"/>
        <w:gridCol w:w="940"/>
        <w:gridCol w:w="1693"/>
        <w:gridCol w:w="1693"/>
        <w:gridCol w:w="1714"/>
        <w:gridCol w:w="436"/>
        <w:gridCol w:w="436"/>
        <w:gridCol w:w="628"/>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Kaan Terzioğlu</w:t>
            </w:r>
          </w:p>
        </w:tc>
        <w:tc>
          <w:tcPr>
            <w:tcW w:w="5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Chairman and Director </w:t>
            </w:r>
          </w:p>
        </w:tc>
        <w:tc>
          <w:tcPr>
            <w:tcW w:w="1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Kaan Terzioğlu</w:t>
            </w:r>
          </w:p>
        </w:tc>
        <w:tc>
          <w:tcPr>
            <w:tcW w:w="51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Taner Kızıltoprak</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Taner Kızıltoprak</w:t>
            </w:r>
          </w:p>
        </w:tc>
        <w:tc>
          <w:tcPr>
            <w:tcW w:w="51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Oleksandr Komarov</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Oleksandr Komarov</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Serdar Çetin</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Serdar Çetin</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Betsy Z. Cohen</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Betsy Z. Cohen</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Augie K. Fabela II</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Augie K. Fabela II</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Rt Hon Sir Brandon Lewis CBE</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Rt Hon Sir Brandon Lewis CBE</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Burak Ozer</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Burak Ozer</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Duncan Perry</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Duncan Perry</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R. Pompeo</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R. Pompeo</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Dmytro Shymkiv</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Dmytro Shymkiv</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Michiel Soeting</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r>
      <w:tr>
        <w:trPr/>
        <w:tc>
          <w:tcPr>
            <w:tcW w:w="2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Michiel Soeting</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AUTHORIZED U.S. REPRESENTATIVE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undersigned, the duly authorized representative in the United States of America, has signed this Registration Statement on Form F-3 in the City of New York, State of New York, on August 31,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color w:val="000000"/>
          <w:sz w:val="20"/>
        </w:rPr>
        <w:t>COGENCY GLOBAL INC.</w:t>
      </w:r>
    </w:p>
    <w:p>
      <w:pPr>
        <w:pStyle w:val="TextBody"/>
        <w:bidi w:val="0"/>
        <w:spacing w:before="0" w:after="0"/>
        <w:jc w:val="both"/>
        <w:rPr/>
      </w:pPr>
      <w:r>
        <w:rPr/>
      </w:r>
    </w:p>
    <w:tbl>
      <w:tblPr>
        <w:tblW w:w="5294" w:type="dxa"/>
        <w:jc w:val="left"/>
        <w:tblInd w:w="0" w:type="dxa"/>
        <w:tblLayout w:type="fixed"/>
        <w:tblCellMar>
          <w:top w:w="28" w:type="dxa"/>
          <w:left w:w="28" w:type="dxa"/>
          <w:bottom w:w="28" w:type="dxa"/>
          <w:right w:w="28" w:type="dxa"/>
        </w:tblCellMar>
      </w:tblPr>
      <w:tblGrid>
        <w:gridCol w:w="232"/>
        <w:gridCol w:w="205"/>
        <w:gridCol w:w="208"/>
        <w:gridCol w:w="1359"/>
        <w:gridCol w:w="1359"/>
        <w:gridCol w:w="193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Colleen A. De Vries</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6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Colleen A. De Vries</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Vice-President on behalf of Cogency Global Inc.</w:t>
            </w:r>
          </w:p>
        </w:tc>
      </w:tr>
    </w:tbl>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EX-FILING FEES</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CALCULATION OF FILING FEE TABLES</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Form F-3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Kyivstar Group Ltd.</w:t>
      </w:r>
    </w:p>
    <w:tbl>
      <w:tblPr>
        <w:tblW w:w="5789" w:type="dxa"/>
        <w:jc w:val="left"/>
        <w:tblInd w:w="0" w:type="dxa"/>
        <w:tblLayout w:type="fixed"/>
        <w:tblCellMar>
          <w:top w:w="28" w:type="dxa"/>
          <w:left w:w="28" w:type="dxa"/>
          <w:bottom w:w="28" w:type="dxa"/>
          <w:right w:w="28" w:type="dxa"/>
        </w:tblCellMar>
      </w:tblPr>
      <w:tblGrid>
        <w:gridCol w:w="1852"/>
        <w:gridCol w:w="1628"/>
        <w:gridCol w:w="2309"/>
      </w:tblGrid>
      <w:tr>
        <w:trPr/>
        <w:tc>
          <w:tcPr>
            <w:tcW w:w="18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double" w:sz="8" w:space="0" w:color="80808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1: Newly Registered and Carry Forward Securities</w:t>
            </w:r>
          </w:p>
        </w:tc>
      </w:tr>
    </w:tbl>
    <w:tbl>
      <w:tblPr>
        <w:tblW w:w="12820"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35"/>
        <w:gridCol w:w="235"/>
        <w:gridCol w:w="236"/>
        <w:gridCol w:w="109"/>
        <w:gridCol w:w="109"/>
        <w:gridCol w:w="109"/>
        <w:gridCol w:w="280"/>
        <w:gridCol w:w="235"/>
        <w:gridCol w:w="236"/>
        <w:gridCol w:w="109"/>
        <w:gridCol w:w="109"/>
        <w:gridCol w:w="109"/>
        <w:gridCol w:w="170"/>
        <w:gridCol w:w="170"/>
        <w:gridCol w:w="171"/>
        <w:gridCol w:w="109"/>
        <w:gridCol w:w="109"/>
        <w:gridCol w:w="109"/>
        <w:gridCol w:w="315"/>
        <w:gridCol w:w="315"/>
        <w:gridCol w:w="316"/>
        <w:gridCol w:w="109"/>
        <w:gridCol w:w="109"/>
        <w:gridCol w:w="109"/>
        <w:gridCol w:w="425"/>
        <w:gridCol w:w="290"/>
        <w:gridCol w:w="291"/>
        <w:gridCol w:w="109"/>
        <w:gridCol w:w="109"/>
        <w:gridCol w:w="109"/>
        <w:gridCol w:w="140"/>
        <w:gridCol w:w="140"/>
        <w:gridCol w:w="140"/>
        <w:gridCol w:w="372"/>
        <w:gridCol w:w="274"/>
        <w:gridCol w:w="141"/>
        <w:gridCol w:w="109"/>
        <w:gridCol w:w="109"/>
        <w:gridCol w:w="109"/>
        <w:gridCol w:w="230"/>
        <w:gridCol w:w="403"/>
        <w:gridCol w:w="403"/>
        <w:gridCol w:w="403"/>
        <w:gridCol w:w="202"/>
        <w:gridCol w:w="129"/>
        <w:gridCol w:w="109"/>
        <w:gridCol w:w="109"/>
        <w:gridCol w:w="109"/>
        <w:gridCol w:w="458"/>
        <w:gridCol w:w="458"/>
        <w:gridCol w:w="151"/>
        <w:gridCol w:w="109"/>
        <w:gridCol w:w="109"/>
        <w:gridCol w:w="109"/>
        <w:gridCol w:w="262"/>
        <w:gridCol w:w="300"/>
        <w:gridCol w:w="300"/>
        <w:gridCol w:w="361"/>
        <w:gridCol w:w="20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Item Type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w:t>
              <w:br/>
              <w:t>Rule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Offering</w:t>
              <w:br/>
              <w:t>Price Per Unit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r>
      <w:tr>
        <w:trPr/>
        <w:tc>
          <w:tcPr>
            <w:tcW w:w="4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2820" w:type="dxa"/>
            <w:gridSpan w:val="6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Newly Registered Securities</w:t>
            </w:r>
          </w:p>
        </w:tc>
      </w:tr>
      <w:tr>
        <w:trPr/>
        <w:tc>
          <w:tcPr>
            <w:tcW w:w="4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par value $0.01 per share</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457(a)</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192,967,440</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13.325 </w:t>
            </w:r>
          </w:p>
        </w:tc>
        <w:tc>
          <w:tcPr>
            <w:tcW w:w="14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1"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2,571,291,138.00 </w:t>
            </w:r>
          </w:p>
        </w:tc>
        <w:tc>
          <w:tcPr>
            <w:tcW w:w="1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0.0001381 </w:t>
            </w:r>
          </w:p>
        </w:tc>
        <w:tc>
          <w:tcPr>
            <w:tcW w:w="1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355,095.31 </w:t>
            </w:r>
          </w:p>
        </w:tc>
        <w:tc>
          <w:tcPr>
            <w:tcW w:w="209"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7570" w:type="dxa"/>
            <w:gridSpan w:val="4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2,571,291,138.00 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355,095.31 </w:t>
            </w:r>
          </w:p>
        </w:tc>
        <w:tc>
          <w:tcPr>
            <w:tcW w:w="209"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70" w:type="dxa"/>
            <w:gridSpan w:val="4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7570" w:type="dxa"/>
            <w:gridSpan w:val="4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308,273.54 </w:t>
            </w:r>
          </w:p>
        </w:tc>
        <w:tc>
          <w:tcPr>
            <w:tcW w:w="209"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7570" w:type="dxa"/>
            <w:gridSpan w:val="4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46,821.77 </w:t>
            </w:r>
          </w:p>
        </w:tc>
        <w:tc>
          <w:tcPr>
            <w:tcW w:w="209"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16"/>
        </w:rPr>
      </w:pPr>
      <w:r>
        <w:rPr>
          <w:rFonts w:ascii="Times New Roman;serif" w:hAnsi="Times New Roman;serif"/>
          <w:b/>
          <w:color w:val="000000"/>
          <w:sz w:val="16"/>
        </w:rPr>
        <w:t>__________________________________________</w:t>
        <w:br/>
        <w:t>Offering Note(s)</w:t>
      </w:r>
    </w:p>
    <w:tbl>
      <w:tblPr>
        <w:tblW w:w="10205" w:type="dxa"/>
        <w:jc w:val="left"/>
        <w:tblInd w:w="0" w:type="dxa"/>
        <w:tblLayout w:type="fixed"/>
        <w:tblCellMar>
          <w:top w:w="28" w:type="dxa"/>
          <w:left w:w="28" w:type="dxa"/>
          <w:bottom w:w="28" w:type="dxa"/>
          <w:right w:w="28" w:type="dxa"/>
        </w:tblCellMar>
      </w:tblPr>
      <w:tblGrid>
        <w:gridCol w:w="152"/>
        <w:gridCol w:w="134"/>
        <w:gridCol w:w="109"/>
        <w:gridCol w:w="109"/>
        <w:gridCol w:w="109"/>
        <w:gridCol w:w="109"/>
        <w:gridCol w:w="2774"/>
        <w:gridCol w:w="2774"/>
        <w:gridCol w:w="393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16"/>
              </w:rPr>
              <w:t xml:space="preserve">Pursuant to Rule 416(a) under the Securities Act of 1933, as amended (the “Securities Act”), Kyivstar Group Ltd. (the “Company”) is also registering an indeterminable number of additional securities as may be issued to prevent dilution resulting from stock splits, stock dividends or similar transactions. </w:t>
              <w:br/>
            </w:r>
            <w:r>
              <w:rPr>
                <w:rFonts w:ascii="Times New Roman;serif" w:hAnsi="Times New Roman;serif"/>
                <w:b w:val="false"/>
                <w:sz w:val="16"/>
              </w:rPr>
              <w:br/>
            </w:r>
            <w:r>
              <w:rPr>
                <w:rFonts w:ascii="Times New Roman;serif" w:hAnsi="Times New Roman;serif"/>
                <w:b w:val="false"/>
                <w:color w:val="000000"/>
                <w:sz w:val="16"/>
              </w:rPr>
              <w:t>Estimated solely for purposes of calculating the registration fee pursuant to Rules 457(c) of the Securities Act, the proposed maximum offering price per share and proposed maximum aggregate offering price are based upon the average of the high and low prices of the Company's common shares as reported on The Nasdaq Stock Market LLC on August 24, 2026, which date is within five business days prior to the filing of this Registration Statement.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4020" w:type="dxa"/>
        <w:jc w:val="left"/>
        <w:tblInd w:w="0" w:type="dxa"/>
        <w:tblLayout w:type="fixed"/>
        <w:tblCellMar>
          <w:top w:w="28" w:type="dxa"/>
          <w:left w:w="28" w:type="dxa"/>
          <w:bottom w:w="28" w:type="dxa"/>
          <w:right w:w="28" w:type="dxa"/>
        </w:tblCellMar>
      </w:tblPr>
      <w:tblGrid>
        <w:gridCol w:w="1287"/>
        <w:gridCol w:w="1131"/>
        <w:gridCol w:w="1602"/>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double" w:sz="8" w:space="0" w:color="80808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2: Fee Offset Claims and Sources</w:t>
            </w:r>
          </w:p>
        </w:tc>
      </w:tr>
    </w:tbl>
    <w:tbl>
      <w:tblPr>
        <w:tblW w:w="14312" w:type="dxa"/>
        <w:jc w:val="left"/>
        <w:tblInd w:w="0" w:type="dxa"/>
        <w:tblLayout w:type="fixed"/>
        <w:tblCellMar>
          <w:top w:w="28" w:type="dxa"/>
          <w:left w:w="28" w:type="dxa"/>
          <w:bottom w:w="28" w:type="dxa"/>
          <w:right w:w="28" w:type="dxa"/>
        </w:tblCellMar>
      </w:tblPr>
      <w:tblGrid>
        <w:gridCol w:w="354"/>
        <w:gridCol w:w="153"/>
        <w:gridCol w:w="154"/>
        <w:gridCol w:w="109"/>
        <w:gridCol w:w="109"/>
        <w:gridCol w:w="109"/>
        <w:gridCol w:w="290"/>
        <w:gridCol w:w="290"/>
        <w:gridCol w:w="291"/>
        <w:gridCol w:w="109"/>
        <w:gridCol w:w="109"/>
        <w:gridCol w:w="109"/>
        <w:gridCol w:w="170"/>
        <w:gridCol w:w="170"/>
        <w:gridCol w:w="171"/>
        <w:gridCol w:w="109"/>
        <w:gridCol w:w="109"/>
        <w:gridCol w:w="109"/>
        <w:gridCol w:w="175"/>
        <w:gridCol w:w="175"/>
        <w:gridCol w:w="176"/>
        <w:gridCol w:w="109"/>
        <w:gridCol w:w="109"/>
        <w:gridCol w:w="109"/>
        <w:gridCol w:w="230"/>
        <w:gridCol w:w="230"/>
        <w:gridCol w:w="231"/>
        <w:gridCol w:w="109"/>
        <w:gridCol w:w="109"/>
        <w:gridCol w:w="109"/>
        <w:gridCol w:w="180"/>
        <w:gridCol w:w="180"/>
        <w:gridCol w:w="181"/>
        <w:gridCol w:w="109"/>
        <w:gridCol w:w="109"/>
        <w:gridCol w:w="109"/>
        <w:gridCol w:w="175"/>
        <w:gridCol w:w="175"/>
        <w:gridCol w:w="176"/>
        <w:gridCol w:w="109"/>
        <w:gridCol w:w="109"/>
        <w:gridCol w:w="109"/>
        <w:gridCol w:w="196"/>
        <w:gridCol w:w="240"/>
        <w:gridCol w:w="240"/>
        <w:gridCol w:w="240"/>
        <w:gridCol w:w="241"/>
        <w:gridCol w:w="109"/>
        <w:gridCol w:w="109"/>
        <w:gridCol w:w="109"/>
        <w:gridCol w:w="109"/>
        <w:gridCol w:w="290"/>
        <w:gridCol w:w="290"/>
        <w:gridCol w:w="291"/>
        <w:gridCol w:w="109"/>
        <w:gridCol w:w="109"/>
        <w:gridCol w:w="109"/>
        <w:gridCol w:w="290"/>
        <w:gridCol w:w="290"/>
        <w:gridCol w:w="291"/>
        <w:gridCol w:w="109"/>
        <w:gridCol w:w="109"/>
        <w:gridCol w:w="109"/>
        <w:gridCol w:w="435"/>
        <w:gridCol w:w="436"/>
        <w:gridCol w:w="327"/>
        <w:gridCol w:w="435"/>
        <w:gridCol w:w="436"/>
        <w:gridCol w:w="327"/>
        <w:gridCol w:w="196"/>
        <w:gridCol w:w="686"/>
        <w:gridCol w:w="275"/>
        <w:gridCol w:w="154"/>
      </w:tblGrid>
      <w:tr>
        <w:trPr/>
        <w:tc>
          <w:tcPr>
            <w:tcW w:w="3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Item Type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Registrant or Filer Name </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Form or Filing Type </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File Number </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Filing Date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6"/>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Offset Claimed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 Associated with Fee Offset Claimed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Title Associated with Fee Offset Claimed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Unsold Securities Associated with Fee Offset Claimed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Unsold Aggregate Offering Amount Associated with Fee Offset Claimed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Paid with Fee Offset Source</w:t>
            </w:r>
          </w:p>
        </w:tc>
      </w:tr>
      <w:tr>
        <w:trPr/>
        <w:tc>
          <w:tcPr>
            <w:tcW w:w="6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14312" w:type="dxa"/>
            <w:gridSpan w:val="87"/>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Rules 457(b) and 0-11(a)(2)</w:t>
            </w:r>
          </w:p>
        </w:tc>
      </w:tr>
      <w:tr>
        <w:trPr/>
        <w:tc>
          <w:tcPr>
            <w:tcW w:w="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Claims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06/05/2025</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308,273.54 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6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Sources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Kyivstar Group Ltd.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06/05/2025</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87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411,843.62 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16"/>
        </w:rPr>
      </w:pPr>
      <w:r>
        <w:rPr>
          <w:rFonts w:ascii="Times New Roman;serif" w:hAnsi="Times New Roman;serif"/>
          <w:b/>
          <w:color w:val="000000"/>
          <w:sz w:val="16"/>
        </w:rPr>
        <w:t>__________________________________________</w:t>
        <w:br/>
        <w:t>Explanation of the basis for claimed offset:</w:t>
      </w:r>
    </w:p>
    <w:tbl>
      <w:tblPr>
        <w:tblW w:w="10205" w:type="dxa"/>
        <w:jc w:val="left"/>
        <w:tblInd w:w="0" w:type="dxa"/>
        <w:tblLayout w:type="fixed"/>
        <w:tblCellMar>
          <w:top w:w="28" w:type="dxa"/>
          <w:left w:w="28" w:type="dxa"/>
          <w:bottom w:w="28" w:type="dxa"/>
          <w:right w:w="28" w:type="dxa"/>
        </w:tblCellMar>
      </w:tblPr>
      <w:tblGrid>
        <w:gridCol w:w="146"/>
        <w:gridCol w:w="129"/>
        <w:gridCol w:w="109"/>
        <w:gridCol w:w="109"/>
        <w:gridCol w:w="109"/>
        <w:gridCol w:w="109"/>
        <w:gridCol w:w="2777"/>
        <w:gridCol w:w="2777"/>
        <w:gridCol w:w="3940"/>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With respect to the Company’s Registration Statement on Form F-4 (File No. 333-287802) (the “F-4 Registration Statement”), first filed with the Securities and Exchange Commission (“SEC”) on June 5, 2025 (the “First F-4 Filing”), the Company inadvertently included 195,554,070 Company common shares in the Calculation of Filing Fee Tables included as an exhibit to the First F-4 Filing (the “Unregistered Shares”). The Company made a payment of $354,481.65 in respect of the Unregistered Shares. As part of the Pre-Effective Amendment No. 1 to the F-4 Registration Statement, filed with the SEC on June 24, 2025 (the “Second F-4 Filing”), the Company filed an amended Calculation of Filing Fee Tables included as an exhibit to the Second F-4 Filing, correcting the number of Company common shares being registered under the F-4 Registration Statement to exclude the Unregistered Shares. Accordingly, the Unregistered Shares were not registered under the F-4 Registration Statement at the time it was declared effective by the SEC on July 22, 2025. From the $354,481.65, the Company applied (i) $11,683.11 in connection with the registration statement on Form F-1, which was filed with the SEC on December 9, 2025 (File No. 333-290082) and declared effective on December 18, 2025 (the “Resale F-1 Registration Statement”), and (ii) $34,525 in connection with the Registration Statement on Form F-1, which was filed with the SEC on January 28, 2026 (File No. 333-292996) and declared effective on January 29, 2026. Of the remaining $308,273.54, the Company will apply $308,273.54 for the filing of this Registration Statement.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3344" w:type="dxa"/>
        <w:jc w:val="left"/>
        <w:tblInd w:w="0" w:type="dxa"/>
        <w:tblLayout w:type="fixed"/>
        <w:tblCellMar>
          <w:top w:w="28" w:type="dxa"/>
          <w:left w:w="28" w:type="dxa"/>
          <w:bottom w:w="28" w:type="dxa"/>
          <w:right w:w="28" w:type="dxa"/>
        </w:tblCellMar>
      </w:tblPr>
      <w:tblGrid>
        <w:gridCol w:w="1069"/>
        <w:gridCol w:w="940"/>
        <w:gridCol w:w="1335"/>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double" w:sz="8" w:space="0" w:color="80808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Table 3: Combined Prospectuses</w:t>
            </w:r>
          </w:p>
        </w:tc>
      </w:tr>
    </w:tbl>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475"/>
        <w:gridCol w:w="335"/>
        <w:gridCol w:w="337"/>
        <w:gridCol w:w="109"/>
        <w:gridCol w:w="109"/>
        <w:gridCol w:w="109"/>
        <w:gridCol w:w="170"/>
        <w:gridCol w:w="170"/>
        <w:gridCol w:w="171"/>
        <w:gridCol w:w="109"/>
        <w:gridCol w:w="109"/>
        <w:gridCol w:w="109"/>
        <w:gridCol w:w="657"/>
        <w:gridCol w:w="410"/>
        <w:gridCol w:w="411"/>
        <w:gridCol w:w="109"/>
        <w:gridCol w:w="109"/>
        <w:gridCol w:w="109"/>
        <w:gridCol w:w="292"/>
        <w:gridCol w:w="355"/>
        <w:gridCol w:w="355"/>
        <w:gridCol w:w="355"/>
        <w:gridCol w:w="233"/>
        <w:gridCol w:w="163"/>
        <w:gridCol w:w="109"/>
        <w:gridCol w:w="109"/>
        <w:gridCol w:w="109"/>
        <w:gridCol w:w="190"/>
        <w:gridCol w:w="190"/>
        <w:gridCol w:w="191"/>
        <w:gridCol w:w="109"/>
        <w:gridCol w:w="109"/>
        <w:gridCol w:w="109"/>
        <w:gridCol w:w="245"/>
        <w:gridCol w:w="245"/>
        <w:gridCol w:w="247"/>
        <w:gridCol w:w="109"/>
        <w:gridCol w:w="109"/>
        <w:gridCol w:w="109"/>
        <w:gridCol w:w="271"/>
        <w:gridCol w:w="271"/>
        <w:gridCol w:w="39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Securities Previously Registered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6"/>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Aggregate Offering</w:t>
              <w:br/>
              <w:t>Price of</w:t>
              <w:br/>
              <w:t>Securities Previously Registered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Type</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Effective Date</w:t>
            </w:r>
          </w:p>
        </w:tc>
      </w:tr>
      <w:tr>
        <w:trPr/>
        <w:tc>
          <w:tcPr>
            <w:tcW w:w="7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underlying warrants</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7,666,629 </w:t>
            </w:r>
          </w:p>
        </w:tc>
        <w:tc>
          <w:tcPr>
            <w:tcW w:w="4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8"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102,350,004.45 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F-4</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333-287802</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07/22/2025</w:t>
            </w:r>
          </w:p>
        </w:tc>
      </w:tr>
      <w:tr>
        <w:trPr/>
        <w:tc>
          <w:tcPr>
            <w:tcW w:w="7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3,274,224 </w:t>
            </w:r>
          </w:p>
        </w:tc>
        <w:tc>
          <w:tcPr>
            <w:tcW w:w="4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6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F-1</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333-290082</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12/18/2025</w:t>
            </w:r>
          </w:p>
        </w:tc>
      </w:tr>
    </w:tbl>
    <w:p>
      <w:pPr>
        <w:pStyle w:val="TextBody"/>
        <w:bidi w:val="0"/>
        <w:spacing w:lineRule="auto" w:line="288" w:before="120" w:after="120"/>
        <w:jc w:val="left"/>
        <w:rPr>
          <w:rFonts w:ascii="Times New Roman;serif" w:hAnsi="Times New Roman;serif"/>
          <w:b/>
          <w:color w:val="000000"/>
          <w:sz w:val="16"/>
        </w:rPr>
      </w:pPr>
      <w:r>
        <w:rPr>
          <w:rFonts w:ascii="Times New Roman;serif" w:hAnsi="Times New Roman;serif"/>
          <w:b/>
          <w:color w:val="000000"/>
          <w:sz w:val="16"/>
        </w:rPr>
        <w:t>__________________________________________</w:t>
        <w:br/>
        <w:t>Prospectus Note(s):</w:t>
      </w:r>
    </w:p>
    <w:tbl>
      <w:tblPr>
        <w:tblW w:w="10205" w:type="dxa"/>
        <w:jc w:val="left"/>
        <w:tblInd w:w="0" w:type="dxa"/>
        <w:tblLayout w:type="fixed"/>
        <w:tblCellMar>
          <w:top w:w="28" w:type="dxa"/>
          <w:left w:w="28" w:type="dxa"/>
          <w:bottom w:w="28" w:type="dxa"/>
          <w:right w:w="28" w:type="dxa"/>
        </w:tblCellMar>
      </w:tblPr>
      <w:tblGrid>
        <w:gridCol w:w="149"/>
        <w:gridCol w:w="132"/>
        <w:gridCol w:w="109"/>
        <w:gridCol w:w="109"/>
        <w:gridCol w:w="109"/>
        <w:gridCol w:w="109"/>
        <w:gridCol w:w="2778"/>
        <w:gridCol w:w="2778"/>
        <w:gridCol w:w="3932"/>
      </w:tblGrid>
      <w:tr>
        <w:trPr/>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 registration fee is payable in connection with the Company’s 7,666,629 common shares underlying its warrants, previously registered on the Company’s F-4 Registration Statement, because such common shares are being transferred from the F-4 Registration Statement pursuant to Rule 429 under the Securities Act. Pursuant to Rule 429(b) under the Securities Act, this Registration Statement, upon effectiveness, will constitute a post-effective amendment to the F-4 Registration Statement, which post-effective amendment shall hereafter become effective concurrently with the effectiveness of this Registration Statement and in accordance with Section 8(c) of the Securities Act.</w:t>
            </w:r>
          </w:p>
        </w:tc>
      </w:tr>
      <w:tr>
        <w:trPr/>
        <w:tc>
          <w:tcPr>
            <w:tcW w:w="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 registration fee is payable in connection with 3,274,224 Company common shares, previously registered on the Company’s Resale F-1 Registration Statement, because such common shares are being transferred from the Resale F-1 Registration Statement pursuant to Rule 429 under the Securities Act. Pursuant to Rule 429(b) under the Securities Act, this Registration Statement, upon effectiveness, will constitute a post-effective amendment to the Resale F-1 Registration Statement, which post-effective amendment shall hereafter become effective concurrently with the effectiveness of this Registration Statement and in accordance with Section 8(c) of the Securities Act.</w:t>
            </w:r>
          </w:p>
        </w:tc>
      </w:tr>
    </w:tbl>
    <w:p>
      <w:pPr>
        <w:pStyle w:val="TextBody"/>
        <w:bidi w:val="0"/>
        <w:spacing w:before="0" w:after="283"/>
        <w:jc w:val="left"/>
        <w:rPr/>
      </w:pPr>
      <w:r>
        <w:rPr/>
      </w:r>
    </w:p>
    <w:p>
      <w:pPr>
        <w:pStyle w:val="TextBody"/>
        <w:bidi w:val="0"/>
        <w:spacing w:before="0" w:after="0"/>
        <w:jc w:val="center"/>
        <w:rPr/>
      </w:pPr>
      <w:bookmarkStart w:id="0" w:name="bermudalegalopinionf-3re.htm"/>
      <w:bookmarkStart w:id="1" w:name="ksbermudalegalopinionf3re"/>
      <w:bookmarkEnd w:id="0"/>
      <w:bookmarkEnd w:id="1"/>
      <w:r>
        <w:rPr/>
        <w:drawing>
          <wp:inline distT="0" distB="0" distL="0" distR="0">
            <wp:extent cx="10048875" cy="13001625"/>
            <wp:effectExtent l="0" t="0" r="0" b="0"/>
            <wp:docPr id="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Jemima Fearnside +1 441 494 4034 jfearnside@wq.bm 31 August 2026 Kyivstar Group Ltd. Unit 517, Level 5 Index Tower Dubai International Financial Centre (DIFC) United Arab Emirates Attn.: the Directors Dear Sirs: Kyivstar Group Ltd. (the “Company”) We have acted as special counsel in Bermuda to the Company in connection with the preparation and filing by the Company of a registration statement on Form F-3 filed by the Company with the Securities and Exchange Commission (“Commission”) under the Securities Act of 1933, as amended (the “Securities Act”) on the date hereof (the “Registration Statement”). The Registration Statement relates to the registration with the Commission of common shares of par value US$0.01 each in the Company (“Common Shares”), including Common Shares issuable upon exercise of public warrants of the Company (“Warrants”), as follows: (i) the offer and sale, from time to time, by VEON Amsterdam B.V. of up to 192,967,440 Common Shares (the “VEON Securities”); (ii) the offer and sale, from time to time, by the other selling securityholders named in the Registration Statement of up to 3,274,224 Common Shares (the “Selling Securityholder Securities”, and together with the VEON Securities, the “Offered Securities”); such Selling Securityholder Securities are currently registered and remain unsold under the Company’s registration statement on Form F-1 (Registration No. 333-290082), first filed with the Commission on September 5, 2025, as subsequently amended (the “F-1 Registration Statement”), which was declared effective by the Commission on December 18, 2025, and (iii) the issue by the Company of 7,666,629 Common Shares to holders of the Company’s Warrants upon their exercise (“Warrant Shares”); such Warrant Shares are currently registered and remain unsold under the F-1 Registration Statement. For the purposes of this letter of opinion (“Opinion”), we have examined and relied upon copies of the documents listed, and in some cases defined, in the Schedule to this Opinion (the “Documents”), together with such other documentation as we have considered relevant to this Opinion. Assumptions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stating our Opinion we have assumed: (a) the authenticity, accuracy and completeness of all Documents and other documentation examined by us submitted to us as originals and the conformity to authentic original documents of all Documents and other such documentation submitted to us as certified, conformed, notarised or photostatic copies; (b) that each of the Documents and other such documentation which was received by electronic means is complete, intact and in conformity with the transmission as sent; (c) there will be no changes to the form of the Documents provided to us; (d) that any factual statements made in any of the Documents are true, accurate and complete; (e) that there are no provisions of the laws or regulations of any jurisdiction other than Bermuda which would have any implication in relation to the opinions expressed in this Opinion and that, in so far as any obligation under, or action to be taken in connection with the registration and/or the sale of the Offered Securities, or the issue of the Warrant Shares, is required to be performed or taken in any jurisdiction outside Bermuda, the performance of such obligation or the taking of such action will not be unlawful by virtue of the laws of that jurisdiction; (f) that the records which were the subject of the search referred to in paragraph 4 of the Schedule to this Opinion were complete and accurate at the time of such search and disclosed all information which is material for the purposes of this Opinion and such information has not since such date been materially altered. Opinion Based upon and subject to the assumptions set out above, and subject to the reservations set out below and to any matters not disclosed to us, we are of the opinion that: 1. The Company is an exempted company incorporated with limited liability and existing under the laws of Bermuda and is in good standing under the laws of Bermuda; and 2. The Offered Securities are duly authorised, validly issued, fully paid and non-assessable Common Shares in the capital of the Company. 3. The Warrant Shares are duly authorised and, when issued upon exercise of the Warrants, will be validly issued, fully paid and non-assessable Common Shares in the capital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Reservations We have the following reservations: (a) We express no opinion as to any law other than Bermuda law and none of the opinions expressed in this Opinion relates to compliance with or matters governed by the laws of any jurisdiction except Bermuda. This Opinion is limited to Bermuda law as applied by the courts of Bermuda at the date of this Opinion. (b) Any reference in this Opinion to Common Shares being “non-assessable” shall mean, in relation to fully-paid Common Shares and subject to any contrary provision in any agreement between the Company and the holder of the Common Shares, that no shareholder shall be obliged, in respect of those Common Shares, to contribute further amounts to the capital of the Company, either in order to complete payment for those shares, to satisfy claims of creditors of the Company, or otherwise; and no shareholder of the Company shall be bound by an alteration of the memorandum of association or bye-laws of the Company after the date on which he became a shareholder, if and so far as the alteration requires him to take, or subscribe for, additional shares of the Company, or in any way increases his liability to contribute to the share capital of, or otherwise to pay money to, the Company. (c) Searches of the Register of Companies at the office of the Registrar of Companies (“Registrar”) are conclusive and it should be noted that they do not reveal: (i) details of matters which have been lodged for filing or registration which as a matter of general practice of the Registrar of Companies would have or should have been disclosed on the public file but have not actually been registered, or to the extent that they have been registered have not been disclosed or do not appear in the public records at the date and time the search is concluded; or (ii) details of matters which should have been lodged for registration but have not been lodged for registration at the date the search is concluded. (d) In order to issue this Opinion we have carried out the search referred to in paragraph 4 of the Schedule to this Opinion on 19th August 2026. We have not enquired as to whether there has been any change since that date. (e) In this Opinion, the term “good standing” means only that the Company has received a certificate of compliance from the Registrar of Companies in Bermuda as at the date referred to in paragraph 5 of the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Disclosure This Opinion is addressed to you in connection with the filing by the Company of the Registration Statement with the Securities and Exchange Commission for the purposes of registering the Offered Securities and Warrant Shares under the Securities Act. We consent to the filing of this Opinion as an exhibit to the Registration Statement and to the statements with respect to our name wherever it appears in the Registration Statement and in any amendment or supplement to the Registration Statement. In giving this consent, we do not admit that we are an “expert” within the meaning of the Securities Act. This Opinion is addressed to the Company and (save as referred to in the preceding paragraph) is neither to be transmitted to any other person, nor quoted nor referred to in any public document, nor filed with any governmental agency or person without our prior written consent, except as may be required by law. Further, this Opinion speaks as of its date and is strictly limited to the matters stated in it and we assume no obligation to review or update this Opinion if applicable law or the existing facts or circumstances should change. This Opinion is governed by and is to be construed in accordance with Bermuda law. Yours faithfully /s/Wakefield Quin Limited Wakefield Quin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SCHEDULE 1. Certified copies of the certificate of incorporation, certificate of incorporation on change of name, memorandum of association, existing bye-laws and register of shareholders of the Company as at 28th August 2026. 2. An electronic copy of the Registration Statement, in the form filed with the Commission. 3. A copy of the notice to the public issued by the Bermuda Monetary Authority pursuant to the Exchange Control Act 1972 and Exchange Control Regulations 1973 dated 1 June 2005. 4. The entries and filings shown in respect of the Company on the file of the Company maintained in the Register of Companies at the offices of the Registrar of Companies in Hamilton, Bermuda, as revealed by an online search of the Company’s records maintained by the Registrar of Companies in Hamilton, Bermuda, on 28th August 2026. 5. A certificate of compliance dated 28th August issued by the Registrar of Companies in Bermuda in respect of the Company.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INDEPENDENT REGISTERED PUBLIC ACCOUNTING FIRM’S CONSENT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this Registration Statement of Kyivstar Group Ltd. on Form F-3 of our report dated March 16, 2026, with respect to our audit of the consolidated financial statements of Kyivstar Group Ltd. included in its Annual Report (Form 20-F) as of December 31, 2025 and 2024 and for each of the three years in the period ended December 31, 2025. Our report includes an explanatory paragraph as to Kyivstar Group Ltd.’s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also consent to the reference to our Firm under the heading “Experts” in such Prospectus.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UHY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Melville, New York</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August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14960"/>
                <wp:effectExtent l="0" t="0" r="0" b="0"/>
                <wp:wrapNone/>
                <wp:docPr id="74" name="Frame6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An independent member of UHY International</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An independent member of UHY International</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2062440/000121390025057315/ea023860304ex2-4_kyivstar.htm" TargetMode="External"/><Relationship Id="rId5" Type="http://schemas.openxmlformats.org/officeDocument/2006/relationships/hyperlink" Target="http://www.sec.gov/Archives/edgar/data/2062440/000121390025062760/ea023860307ex2-5_kyivstar.htm" TargetMode="External"/><Relationship Id="rId6" Type="http://schemas.openxmlformats.org/officeDocument/2006/relationships/hyperlink" Target="http://www.sec.gov/Archives/edgar/data/2062440/000121390025051575/ea023860302ex3-1_kyivstar.htm" TargetMode="External"/><Relationship Id="rId7" Type="http://schemas.openxmlformats.org/officeDocument/2006/relationships/hyperlink" Target="http://www.sec.gov/Archives/edgar/data/2062440/000121390025077507/ea025223501ex1-2_kyivstar.htm" TargetMode="External"/><Relationship Id="rId8" Type="http://schemas.openxmlformats.org/officeDocument/2006/relationships/hyperlink" Target="http://www.sec.gov/Archives/edgar/data/2062440/000121390025057315/ea023860304ex4-1_kyivstar.htm" TargetMode="External"/><Relationship Id="rId9" Type="http://schemas.openxmlformats.org/officeDocument/2006/relationships/hyperlink" Target="http://www.sec.gov/Archives/edgar/data/2062440/000121390025057315/ea023860304ex4-4_kyivstar.htm" TargetMode="External"/><Relationship Id="rId10" Type="http://schemas.openxmlformats.org/officeDocument/2006/relationships/hyperlink" Target="http://www.sec.gov/Archives/edgar/data/2062440/000121390025051575/ea023860302ex4-3_kyivstar.htm" TargetMode="External"/><Relationship Id="rId11" Type="http://schemas.openxmlformats.org/officeDocument/2006/relationships/hyperlink" Target="http://www.sec.gov/Archives/edgar/data/2062440/000121390025077507/ea025223501ex2-4_kyivstar.htm" TargetMode="External"/><Relationship Id="rId12" Type="http://schemas.openxmlformats.org/officeDocument/2006/relationships/hyperlink" Target="http://www.sec.gov/Archives/edgar/data/2062440/000121390025062760/ea023860307ex10-11_kyivstar.htm" TargetMode="External"/><Relationship Id="rId13" Type="http://schemas.openxmlformats.org/officeDocument/2006/relationships/hyperlink" Target="http://www.sec.gov/Archives/edgar/data/2062440/000121390025077507/ea025223501ex4-7_kyivstar.htm" TargetMode="External"/><Relationship Id="rId14" Type="http://schemas.openxmlformats.org/officeDocument/2006/relationships/hyperlink" Target="http://www.sec.gov/Archives/edgar/data/2062440/000121390025051575/ea023860302ex10-8_kyivstar.htm" TargetMode="External"/><Relationship Id="rId15" Type="http://schemas.openxmlformats.org/officeDocument/2006/relationships/hyperlink" Target="http://www.sec.gov/Archives/edgar/data/2062440/000121390025051575/ea023860302ex10-9_kyivstar.htm" TargetMode="External"/><Relationship Id="rId16" Type="http://schemas.openxmlformats.org/officeDocument/2006/relationships/hyperlink" Target="http://www.sec.gov/Archives/edgar/data/2062440/000121390026008530/ea027249503ex10-8_kyivstar.htm" TargetMode="External"/><Relationship Id="rId17" Type="http://schemas.openxmlformats.org/officeDocument/2006/relationships/hyperlink" Target="http://www.sec.gov/Archives/edgar/data/2062440/000121390025062760/ea023860307ex10-10_kyivstar.htm" TargetMode="External"/><Relationship Id="rId18" Type="http://schemas.openxmlformats.org/officeDocument/2006/relationships/hyperlink" Target="http://www.sec.gov/Archives/edgar/data/2062440/000206244026000006/ex4yivstargroupltdumbrella.htm" TargetMode="Externa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29351</Words>
  <Characters>155567</Characters>
  <CharactersWithSpaces>184169</CharactersWithSpaces>
  <Paragraphs>1318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bermudalegalopinionf-3re</dc:title>
</cp:coreProperties>
</file>